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spacing w:before="800"/>
        <w:jc w:val="center"/>
      </w:pPr>
      <w:r>
        <w:t xml:space="preserve">CHATGPT</w:t>
      </w:r>
      <w:r>
        <w:t xml:space="preserve"> </w:t>
      </w:r>
      <w:r>
        <w:t xml:space="preserve">LEGAL</w:t>
      </w:r>
      <w:r>
        <w:t xml:space="preserve"> </w:t>
      </w:r>
      <w:r>
        <w:t xml:space="preserve">ANALYSIS</w:t>
      </w:r>
      <w:r>
        <w:t xml:space="preserve"> </w:t>
      </w:r>
      <w:r>
        <w:t xml:space="preserve">REPORT</w:t>
      </w:r>
      <w:r>
        <w:t xml:space="preserve"> </w:t>
      </w:r>
      <w:r>
        <w:t xml:space="preserve">-</w:t>
      </w:r>
      <w:r>
        <w:t xml:space="preserve"> </w:t>
      </w:r>
      <w:r>
        <w:t xml:space="preserve">NO.</w:t>
      </w:r>
      <w:r>
        <w:t xml:space="preserve"> </w:t>
      </w:r>
      <w:r>
        <w:t xml:space="preserve">004</w:t>
      </w:r>
    </w:p>
    <w:p>
      <w:pPr>
        <w:pStyle w:val="Subtitle"/>
        <w:jc w:val="center"/>
      </w:pPr>
      <w:r>
        <w:t xml:space="preserve">Documentary</w:t>
      </w:r>
      <w:r>
        <w:t xml:space="preserve"> </w:t>
      </w:r>
      <w:r>
        <w:t xml:space="preserve">and</w:t>
      </w:r>
      <w:r>
        <w:t xml:space="preserve"> </w:t>
      </w:r>
      <w:r>
        <w:t xml:space="preserve">Procedural</w:t>
      </w:r>
      <w:r>
        <w:t xml:space="preserve"> </w:t>
      </w:r>
      <w:r>
        <w:t xml:space="preserve">Analysis</w:t>
      </w:r>
      <w:r>
        <w:t xml:space="preserve"> </w:t>
      </w:r>
      <w:r>
        <w:t xml:space="preserve">of</w:t>
      </w:r>
      <w:r>
        <w:t xml:space="preserve"> </w:t>
      </w:r>
      <w:r>
        <w:t xml:space="preserve">Petitions</w:t>
      </w:r>
      <w:r>
        <w:t xml:space="preserve"> </w:t>
      </w:r>
      <w:r>
        <w:t xml:space="preserve">Before</w:t>
      </w:r>
      <w:r>
        <w:t xml:space="preserve"> </w:t>
      </w:r>
      <w:r>
        <w:t xml:space="preserve">the</w:t>
      </w:r>
      <w:r>
        <w:t xml:space="preserve"> </w:t>
      </w:r>
      <w:r>
        <w:t xml:space="preserve">Petitions</w:t>
      </w:r>
      <w:r>
        <w:t xml:space="preserve"> </w:t>
      </w:r>
      <w:r>
        <w:t xml:space="preserve">Committee</w:t>
      </w:r>
      <w:r>
        <w:t xml:space="preserve"> </w:t>
      </w:r>
      <w:r>
        <w:t xml:space="preserve">of</w:t>
      </w:r>
      <w:r>
        <w:t xml:space="preserve"> </w:t>
      </w:r>
      <w:r>
        <w:t xml:space="preserve">the</w:t>
      </w:r>
      <w:r>
        <w:t xml:space="preserve"> </w:t>
      </w:r>
      <w:r>
        <w:t xml:space="preserve">Berlin</w:t>
      </w:r>
      <w:r>
        <w:t xml:space="preserve"> </w:t>
      </w:r>
      <w:r>
        <w:t xml:space="preserve">House</w:t>
      </w:r>
      <w:r>
        <w:t xml:space="preserve"> </w:t>
      </w:r>
      <w:r>
        <w:t xml:space="preserve">of</w:t>
      </w:r>
      <w:r>
        <w:t xml:space="preserve"> </w:t>
      </w:r>
      <w:r>
        <w:t xml:space="preserve">Representatives</w:t>
      </w:r>
      <w:r>
        <w:t xml:space="preserve"> </w:t>
      </w:r>
      <w:r>
        <w:t xml:space="preserve">(Abgeordnetenhaus</w:t>
      </w:r>
      <w:r>
        <w:t xml:space="preserve"> </w:t>
      </w:r>
      <w:r>
        <w:t xml:space="preserve">von</w:t>
      </w:r>
      <w:r>
        <w:t xml:space="preserve"> </w:t>
      </w:r>
      <w:r>
        <w:t xml:space="preserve">Berlin)</w:t>
      </w:r>
    </w:p>
    <w:p>
      <w:pPr>
        <w:pStyle w:val="Author"/>
      </w:pPr>
      <w:r>
        <w:t xml:space="preserve">Prepared</w:t>
      </w:r>
      <w:r>
        <w:t xml:space="preserve"> </w:t>
      </w:r>
      <w:r>
        <w:t xml:space="preserve">through</w:t>
      </w:r>
      <w:r>
        <w:t xml:space="preserve"> </w:t>
      </w:r>
      <w:r>
        <w:t xml:space="preserve">ChatGPT</w:t>
      </w:r>
      <w:r>
        <w:t xml:space="preserve"> </w:t>
      </w:r>
      <w:r>
        <w:t xml:space="preserve">-</w:t>
      </w:r>
      <w:r>
        <w:t xml:space="preserve"> </w:t>
      </w:r>
      <w:r>
        <w:t xml:space="preserve">AI-Assisted</w:t>
      </w:r>
      <w:r>
        <w:t xml:space="preserve"> </w:t>
      </w:r>
      <w:r>
        <w:t xml:space="preserve">Legal</w:t>
      </w:r>
      <w:r>
        <w:t xml:space="preserve"> </w:t>
      </w:r>
      <w:r>
        <w:t xml:space="preserve">Analysis</w:t>
      </w:r>
      <w:r>
        <w:t xml:space="preserve"> </w:t>
      </w:r>
      <w:r>
        <w:t xml:space="preserve">System</w:t>
      </w:r>
    </w:p>
    <w:p>
      <w:pPr>
        <w:pStyle w:val="Date"/>
      </w:pPr>
      <w:r>
        <w:t xml:space="preserve">02</w:t>
      </w:r>
      <w:r>
        <w:t xml:space="preserve"> </w:t>
      </w:r>
      <w:r>
        <w:t xml:space="preserve">June</w:t>
      </w:r>
      <w:r>
        <w:t xml:space="preserve"> </w:t>
      </w:r>
      <w:r>
        <w:t xml:space="preserve">2026</w:t>
      </w:r>
    </w:p>
    <w:p>
      <w:pPr>
        <w:pStyle w:val="FirstParagraph"/>
      </w:pPr>
      <w:r>
        <w:rPr>
          <w:b/>
          <w:bCs/>
        </w:rPr>
        <w:t xml:space="preserve">Reference No.: GPT-HR/DE/IR-BER-PET-004/2026</w:t>
      </w:r>
      <w:r>
        <w:br/>
      </w:r>
      <w:r>
        <w:rPr>
          <w:b/>
          <w:bCs/>
        </w:rPr>
        <w:t xml:space="preserve">Applicant / Petitioner:</w:t>
      </w:r>
      <w:r>
        <w:t xml:space="preserve"> </w:t>
      </w:r>
      <w:r>
        <w:t xml:space="preserve">Ismail Rustam / Ruestem Ismail / Rustem Ismail</w:t>
      </w:r>
      <w:r>
        <w:br/>
      </w:r>
      <w:r>
        <w:rPr>
          <w:b/>
          <w:bCs/>
        </w:rPr>
        <w:t xml:space="preserve">Address appearing in the examined records:</w:t>
      </w:r>
      <w:r>
        <w:t xml:space="preserve"> </w:t>
      </w:r>
      <w:r>
        <w:t xml:space="preserve">Wichmannstrasse 9, 10787 Berlin</w:t>
      </w:r>
      <w:r>
        <w:br/>
      </w:r>
      <w:r>
        <w:rPr>
          <w:b/>
          <w:bCs/>
        </w:rPr>
        <w:t xml:space="preserve">Institution analysed:</w:t>
      </w:r>
      <w:r>
        <w:t xml:space="preserve"> </w:t>
      </w:r>
      <w:r>
        <w:t xml:space="preserve">Abgeordnetenhaus von Berlin - Petitionsausschuss</w:t>
      </w:r>
      <w:r>
        <w:br/>
      </w:r>
      <w:r>
        <w:rPr>
          <w:b/>
          <w:bCs/>
        </w:rPr>
        <w:t xml:space="preserve">Documented Berlin file references:</w:t>
      </w:r>
      <w:r>
        <w:t xml:space="preserve"> </w:t>
      </w:r>
      <w:r>
        <w:t xml:space="preserve">9824/15 and 1222/16</w:t>
      </w:r>
      <w:r>
        <w:br/>
      </w:r>
      <w:r>
        <w:rPr>
          <w:b/>
          <w:bCs/>
        </w:rPr>
        <w:t xml:space="preserve">Additional file reference requested for verification:</w:t>
      </w:r>
      <w:r>
        <w:t xml:space="preserve"> </w:t>
      </w:r>
      <w:r>
        <w:t xml:space="preserve">7321/16</w:t>
      </w:r>
      <w:r>
        <w:br/>
      </w:r>
      <w:r>
        <w:rPr>
          <w:b/>
          <w:bCs/>
        </w:rPr>
        <w:t xml:space="preserve">Scope limitation:</w:t>
      </w:r>
      <w:r>
        <w:t xml:space="preserve"> </w:t>
      </w:r>
      <w:r>
        <w:t xml:space="preserve">This report is confined to the handling of petitions by the Berlin House of Representatives. The German Bundestag is mentioned only where the Berlin file documents a transfer of a pension-related component to federal competence; a full Bundestag analysis is reserved for a separate report.</w:t>
      </w:r>
    </w:p>
    <w:bookmarkStart w:id="20" w:name="Xd4b5237a392896f37d810d25500e9e80bd388f8"/>
    <w:p>
      <w:pPr>
        <w:pStyle w:val="Heading2"/>
      </w:pPr>
      <w:r>
        <w:t xml:space="preserve">Important qualification regarding authorship and legal status</w:t>
      </w:r>
    </w:p>
    <w:p>
      <w:pPr>
        <w:pStyle w:val="FirstParagraph"/>
      </w:pPr>
      <w:r>
        <w:t xml:space="preserve">This is an</w:t>
      </w:r>
      <w:r>
        <w:t xml:space="preserve"> </w:t>
      </w:r>
      <w:r>
        <w:rPr>
          <w:b/>
          <w:bCs/>
        </w:rPr>
        <w:t xml:space="preserve">AI-assisted legal-documentary analysis prepared through ChatGPT, an AI system provided by OpenAI, at the express request of Ismail Rustam</w:t>
      </w:r>
      <w:r>
        <w:t xml:space="preserve">. It is not a judgment, a binding legal opinion, a forensic certification of originals, legal representation, or an institutional finding issued or endorsed by OpenAI. Its purpose is to organise and analyse documentary material supplied by the applicant together with publicly accessible official legal and parliamentary sources. Findings are graded according to the evidence visible in the supplied records.</w:t>
      </w:r>
    </w:p>
    <w:p>
      <w:pPr>
        <w:pStyle w:val="BodyText"/>
      </w:pPr>
      <w:r>
        <w:t xml:space="preserve">The report distinguishes between:</w:t>
      </w:r>
    </w:p>
    <w:p>
      <w:pPr>
        <w:pStyle w:val="Compact"/>
        <w:numPr>
          <w:ilvl w:val="0"/>
          <w:numId w:val="1001"/>
        </w:numPr>
      </w:pPr>
      <w:r>
        <w:rPr>
          <w:b/>
          <w:bCs/>
        </w:rPr>
        <w:t xml:space="preserve">Documented fact</w:t>
      </w:r>
      <w:r>
        <w:t xml:space="preserve"> </w:t>
      </w:r>
      <w:r>
        <w:t xml:space="preserve">- stated in or visible from an official letter, submission or photograph examined for this report;</w:t>
      </w:r>
    </w:p>
    <w:p>
      <w:pPr>
        <w:pStyle w:val="Compact"/>
        <w:numPr>
          <w:ilvl w:val="0"/>
          <w:numId w:val="1001"/>
        </w:numPr>
      </w:pPr>
      <w:r>
        <w:rPr>
          <w:b/>
          <w:bCs/>
        </w:rPr>
        <w:t xml:space="preserve">Applicant’s allegation</w:t>
      </w:r>
      <w:r>
        <w:t xml:space="preserve"> </w:t>
      </w:r>
      <w:r>
        <w:t xml:space="preserve">- a statement made by the applicant in a petition or objection, recorded as an allegation unless independently established by an official record;</w:t>
      </w:r>
    </w:p>
    <w:p>
      <w:pPr>
        <w:pStyle w:val="Compact"/>
        <w:numPr>
          <w:ilvl w:val="0"/>
          <w:numId w:val="1001"/>
        </w:numPr>
      </w:pPr>
      <w:r>
        <w:rPr>
          <w:b/>
          <w:bCs/>
        </w:rPr>
        <w:t xml:space="preserve">Authority position</w:t>
      </w:r>
      <w:r>
        <w:t xml:space="preserve"> </w:t>
      </w:r>
      <w:r>
        <w:t xml:space="preserve">- an assertion or conclusion contained in an authority’s response;</w:t>
      </w:r>
    </w:p>
    <w:p>
      <w:pPr>
        <w:pStyle w:val="Compact"/>
        <w:numPr>
          <w:ilvl w:val="0"/>
          <w:numId w:val="1001"/>
        </w:numPr>
      </w:pPr>
      <w:r>
        <w:rPr>
          <w:b/>
          <w:bCs/>
        </w:rPr>
        <w:t xml:space="preserve">Legal assessment</w:t>
      </w:r>
      <w:r>
        <w:t xml:space="preserve"> </w:t>
      </w:r>
      <w:r>
        <w:t xml:space="preserve">- the analytical evaluation made in this report, identifying apparent compliance, procedural deficiency, potential breach, or an issue requiring further evidence.</w:t>
      </w:r>
    </w:p>
    <w:bookmarkEnd w:id="20"/>
    <w:bookmarkStart w:id="21" w:name="table-of-contents"/>
    <w:p>
      <w:pPr>
        <w:pStyle w:val="Heading1"/>
        <w:keepNext/>
        <w:pageBreakBefore/>
      </w:pPr>
      <w:r>
        <w:t xml:space="preserve">Table of Contents</w:t>
      </w:r>
    </w:p>
    <w:p>
      <w:pPr>
        <w:pStyle w:val="Compact"/>
        <w:keepNext/>
        <w:pageBreakBefore w:val="0"/>
        <w:numPr>
          <w:ilvl w:val="0"/>
          <w:numId w:val="1002"/>
        </w:numPr>
      </w:pPr>
      <w:r>
        <w:t xml:space="preserve">Executive Summary</w:t>
      </w:r>
    </w:p>
    <w:p>
      <w:pPr>
        <w:pStyle w:val="Compact"/>
        <w:numPr>
          <w:ilvl w:val="0"/>
          <w:numId w:val="1002"/>
        </w:numPr>
      </w:pPr>
      <w:r>
        <w:t xml:space="preserve">Mandate, Scope and Analytical Method</w:t>
      </w:r>
    </w:p>
    <w:p>
      <w:pPr>
        <w:pStyle w:val="Compact"/>
        <w:numPr>
          <w:ilvl w:val="0"/>
          <w:numId w:val="1002"/>
        </w:numPr>
      </w:pPr>
      <w:r>
        <w:t xml:space="preserve">Documentary Corpus Examined</w:t>
      </w:r>
    </w:p>
    <w:p>
      <w:pPr>
        <w:pStyle w:val="Compact"/>
        <w:numPr>
          <w:ilvl w:val="0"/>
          <w:numId w:val="1002"/>
        </w:numPr>
      </w:pPr>
      <w:r>
        <w:t xml:space="preserve">Public Archive Research Result</w:t>
      </w:r>
    </w:p>
    <w:p>
      <w:pPr>
        <w:pStyle w:val="Compact"/>
        <w:numPr>
          <w:ilvl w:val="0"/>
          <w:numId w:val="1002"/>
        </w:numPr>
      </w:pPr>
      <w:r>
        <w:t xml:space="preserve">Applicable Legal Framework</w:t>
      </w:r>
    </w:p>
    <w:p>
      <w:pPr>
        <w:pStyle w:val="Compact"/>
        <w:numPr>
          <w:ilvl w:val="0"/>
          <w:numId w:val="1002"/>
        </w:numPr>
      </w:pPr>
      <w:r>
        <w:t xml:space="preserve">Chronological Reconstruction of the Berlin Petition Proceedings</w:t>
      </w:r>
    </w:p>
    <w:p>
      <w:pPr>
        <w:pStyle w:val="Compact"/>
        <w:numPr>
          <w:ilvl w:val="0"/>
          <w:numId w:val="1002"/>
        </w:numPr>
      </w:pPr>
      <w:r>
        <w:t xml:space="preserve">Assessment of What the Abgeordnetenhaus Handled Correctly</w:t>
      </w:r>
    </w:p>
    <w:p>
      <w:pPr>
        <w:pStyle w:val="Compact"/>
        <w:numPr>
          <w:ilvl w:val="0"/>
          <w:numId w:val="1002"/>
        </w:numPr>
      </w:pPr>
      <w:r>
        <w:t xml:space="preserve">Apparent Procedural Deficiencies and Potential Legal Failures</w:t>
      </w:r>
    </w:p>
    <w:p>
      <w:pPr>
        <w:pStyle w:val="Compact"/>
        <w:numPr>
          <w:ilvl w:val="0"/>
          <w:numId w:val="1002"/>
        </w:numPr>
      </w:pPr>
      <w:r>
        <w:t xml:space="preserve">Legal Issue Matrix - Allegation, Authority Response and Legal Assessment</w:t>
      </w:r>
    </w:p>
    <w:p>
      <w:pPr>
        <w:pStyle w:val="Compact"/>
        <w:numPr>
          <w:ilvl w:val="0"/>
          <w:numId w:val="1002"/>
        </w:numPr>
      </w:pPr>
      <w:r>
        <w:t xml:space="preserve">Potential Rights and Legal Standards Engaged</w:t>
      </w:r>
    </w:p>
    <w:p>
      <w:pPr>
        <w:pStyle w:val="Compact"/>
        <w:numPr>
          <w:ilvl w:val="0"/>
          <w:numId w:val="1002"/>
        </w:numPr>
      </w:pPr>
      <w:r>
        <w:t xml:space="preserve">Findings and Conclusions</w:t>
      </w:r>
    </w:p>
    <w:p>
      <w:pPr>
        <w:pStyle w:val="Compact"/>
        <w:numPr>
          <w:ilvl w:val="0"/>
          <w:numId w:val="1002"/>
        </w:numPr>
      </w:pPr>
      <w:r>
        <w:t xml:space="preserve">Recommended Next Procedural Requests Limited to Abgeordnetenhaus Berlin</w:t>
      </w:r>
    </w:p>
    <w:p>
      <w:pPr>
        <w:pStyle w:val="Compact"/>
        <w:numPr>
          <w:ilvl w:val="0"/>
          <w:numId w:val="1002"/>
        </w:numPr>
      </w:pPr>
      <w:r>
        <w:t xml:space="preserve">Source Register</w:t>
      </w:r>
    </w:p>
    <w:p>
      <w:pPr>
        <w:pStyle w:val="Compact"/>
        <w:numPr>
          <w:ilvl w:val="0"/>
          <w:numId w:val="1002"/>
        </w:numPr>
      </w:pPr>
      <w:r>
        <w:t xml:space="preserve">Appendix A - Document Chronology Table</w:t>
      </w:r>
    </w:p>
    <w:p>
      <w:pPr>
        <w:pStyle w:val="Compact"/>
        <w:numPr>
          <w:ilvl w:val="0"/>
          <w:numId w:val="1002"/>
        </w:numPr>
      </w:pPr>
      <w:r>
        <w:t xml:space="preserve">Appendix B - Requested Records Checklist</w:t>
      </w:r>
    </w:p>
    <w:bookmarkEnd w:id="21"/>
    <w:bookmarkStart w:id="25" w:name="executive-summary"/>
    <w:p>
      <w:pPr>
        <w:pStyle w:val="Heading1"/>
        <w:keepNext/>
        <w:pageBreakBefore/>
      </w:pPr>
      <w:r>
        <w:t xml:space="preserve">Executive Summary</w:t>
      </w:r>
    </w:p>
    <w:bookmarkStart w:id="22" w:name="core-conclusion"/>
    <w:p>
      <w:pPr>
        <w:pStyle w:val="Heading2"/>
      </w:pPr>
      <w:r>
        <w:t xml:space="preserve">1. Core conclusion</w:t>
      </w:r>
    </w:p>
    <w:p>
      <w:pPr>
        <w:pStyle w:val="FirstParagraph"/>
      </w:pPr>
      <w:r>
        <w:t xml:space="preserve">The supplied documentary record establishes that Ismail Rustam submitted an extensive complaint to the</w:t>
      </w:r>
      <w:r>
        <w:t xml:space="preserve"> </w:t>
      </w:r>
      <w:r>
        <w:rPr>
          <w:b/>
          <w:bCs/>
        </w:rPr>
        <w:t xml:space="preserve">Petitions Committee of the Abgeordnetenhaus von Berlin</w:t>
      </w:r>
      <w:r>
        <w:t xml:space="preserve"> </w:t>
      </w:r>
      <w:r>
        <w:t xml:space="preserve">on 5 September 2006 concerning alleged serious misconduct by Berlin public bodies, including allegations of immigration detention without lawful basis, denial of medical assistance, release into homelessness while ill, police violence in detention, deprivation of social and medical support, unsafe living conditions, residence-law problems and later disability/pension-related consequences. The Berlin House of Representatives registered this complaint under</w:t>
      </w:r>
      <w:r>
        <w:t xml:space="preserve"> </w:t>
      </w:r>
      <w:r>
        <w:rPr>
          <w:b/>
          <w:bCs/>
        </w:rPr>
        <w:t xml:space="preserve">Geschäftszeichen 9824/15</w:t>
      </w:r>
      <w:r>
        <w:t xml:space="preserve"> </w:t>
      </w:r>
      <w:r>
        <w:t xml:space="preserve">on 14 September 2006. [D1, pp. 2-12; D3]</w:t>
      </w:r>
    </w:p>
    <w:p>
      <w:pPr>
        <w:pStyle w:val="BodyText"/>
      </w:pPr>
      <w:r>
        <w:t xml:space="preserve">During 2007, the applicant repeatedly supplemented file 9824/15 with documents relating to social-court proceedings, immigration-authority decisions, disability and inability to work, medical certificates, a rejected pension claim, and his objection against that rejection. The Committee expanded the stated subject matter from</w:t>
      </w:r>
      <w:r>
        <w:t xml:space="preserve"> </w:t>
      </w:r>
      <w:r>
        <w:t xml:space="preserve">“</w:t>
      </w:r>
      <w:r>
        <w:t xml:space="preserve">support in social matters</w:t>
      </w:r>
      <w:r>
        <w:t xml:space="preserve">”</w:t>
      </w:r>
      <w:r>
        <w:t xml:space="preserve"> </w:t>
      </w:r>
      <w:r>
        <w:t xml:space="preserve">to include</w:t>
      </w:r>
      <w:r>
        <w:t xml:space="preserve"> </w:t>
      </w:r>
      <w:r>
        <w:t xml:space="preserve">“</w:t>
      </w:r>
      <w:r>
        <w:t xml:space="preserve">granting a residence permit</w:t>
      </w:r>
      <w:r>
        <w:t xml:space="preserve">”</w:t>
      </w:r>
      <w:r>
        <w:t xml:space="preserve"> </w:t>
      </w:r>
      <w:r>
        <w:t xml:space="preserve">and later addressed the pension issue. [D1, pp. 13-20; D4]</w:t>
      </w:r>
    </w:p>
    <w:p>
      <w:pPr>
        <w:pStyle w:val="BodyText"/>
      </w:pPr>
      <w:r>
        <w:t xml:space="preserve">In its substantive response of 24 May 2007, the Committee stated that it had sought information from, among others,</w:t>
      </w:r>
      <w:r>
        <w:t xml:space="preserve"> </w:t>
      </w:r>
      <w:r>
        <w:rPr>
          <w:b/>
          <w:bCs/>
        </w:rPr>
        <w:t xml:space="preserve">Bezirksamt Neukoelln</w:t>
      </w:r>
      <w:r>
        <w:t xml:space="preserve">,</w:t>
      </w:r>
      <w:r>
        <w:t xml:space="preserve"> </w:t>
      </w:r>
      <w:r>
        <w:rPr>
          <w:b/>
          <w:bCs/>
        </w:rPr>
        <w:t xml:space="preserve">Deutsche Rentenversicherung Berlin-Brandenburg</w:t>
      </w:r>
      <w:r>
        <w:t xml:space="preserve"> </w:t>
      </w:r>
      <w:r>
        <w:t xml:space="preserve">and the</w:t>
      </w:r>
      <w:r>
        <w:t xml:space="preserve"> </w:t>
      </w:r>
      <w:r>
        <w:rPr>
          <w:b/>
          <w:bCs/>
        </w:rPr>
        <w:t xml:space="preserve">Senatsverwaltung fuer Inneres und Sport</w:t>
      </w:r>
      <w:r>
        <w:t xml:space="preserve">. It accepted the administrative position that subsistence had been continuously secured through Jobcenter benefits, found no basis to obtain further one-off furniture assistance, and forwarded the pension-related complaint to the</w:t>
      </w:r>
      <w:r>
        <w:t xml:space="preserve"> </w:t>
      </w:r>
      <w:r>
        <w:rPr>
          <w:b/>
          <w:bCs/>
        </w:rPr>
        <w:t xml:space="preserve">Petitions Committee of the German Bundestag</w:t>
      </w:r>
      <w:r>
        <w:t xml:space="preserve"> </w:t>
      </w:r>
      <w:r>
        <w:t xml:space="preserve">because the account holder was Deutsche Rentenversicherung Bund. It further stated that it was unable to clarify allegations concerning police events of 1998 and 1999. [D1, pp. 20-21; D4]</w:t>
      </w:r>
    </w:p>
    <w:p>
      <w:pPr>
        <w:pStyle w:val="BodyText"/>
      </w:pPr>
      <w:r>
        <w:t xml:space="preserve">The file then developed into a second registered Berlin petition,</w:t>
      </w:r>
      <w:r>
        <w:t xml:space="preserve"> </w:t>
      </w:r>
      <w:r>
        <w:rPr>
          <w:b/>
          <w:bCs/>
        </w:rPr>
        <w:t xml:space="preserve">Geschäftszeichen 1222/16</w:t>
      </w:r>
      <w:r>
        <w:t xml:space="preserve">, acknowledged on 20 June 2007. The subjects listed in the acknowledgment were: (1) support in social matters, (2) granting a residence permit, and (3) granting a pension. [D1, p. 25; D4]</w:t>
      </w:r>
    </w:p>
    <w:p>
      <w:pPr>
        <w:pStyle w:val="BodyText"/>
      </w:pPr>
      <w:r>
        <w:t xml:space="preserve">The applicant submitted further court materials and objections in July and August 2007. In a response referred to in subsequent correspondence as dated 6 September 2007, the Committee addressed refrigerator/furniture assistance, social benefit classification, residence status and the limits of its ability to intervene in court proceedings. The Committee’s response recorded an important administrative fact: according to the information it had obtained, Jobcenter Mitte had initially proceeded on an erroneous assumption that the applicant was entitled to SGB II benefits despite his humanitarian residence permit, and the competent benefit framework was instead the Asylbewerberleistungsgesetz. [D1, pp. 26-30]</w:t>
      </w:r>
    </w:p>
    <w:p>
      <w:pPr>
        <w:pStyle w:val="BodyText"/>
      </w:pPr>
      <w:r>
        <w:t xml:space="preserve">The applicant objected on 24 September 2007, writing from hospital and asserting that the Committee had failed to examine the full seriousness of his medical, social and human-rights complaints. The Committee acknowledged the supplement on 8 October 2007 and reconsidered the matter in November 2007. In its later response, it relied on information from Bezirksamt Reinickendorf that the applicant, although not a statutory health-insurance member, had been registered with AOK Berlin under</w:t>
      </w:r>
      <w:r>
        <w:t xml:space="preserve"> </w:t>
      </w:r>
      <w:r>
        <w:rPr>
          <w:b/>
          <w:bCs/>
        </w:rPr>
        <w:t xml:space="preserve">section 264 SGB V</w:t>
      </w:r>
      <w:r>
        <w:t xml:space="preserve"> </w:t>
      </w:r>
      <w:r>
        <w:t xml:space="preserve">and thereby had access to benefits within the statutory health-care framework; it rejected additional furniture assistance beyond initial furnishing and indicated that a loan could be sought for replacement purchases. [D1, pp. 31-45; D5; D6]</w:t>
      </w:r>
    </w:p>
    <w:p>
      <w:pPr>
        <w:pStyle w:val="BodyText"/>
      </w:pPr>
      <w:r>
        <w:t xml:space="preserve">On 1 December 2007, the applicant submitted a final complaint referring expressly to</w:t>
      </w:r>
      <w:r>
        <w:t xml:space="preserve"> </w:t>
      </w:r>
      <w:r>
        <w:rPr>
          <w:b/>
          <w:bCs/>
        </w:rPr>
        <w:t xml:space="preserve">9824/15</w:t>
      </w:r>
      <w:r>
        <w:t xml:space="preserve"> </w:t>
      </w:r>
      <w:r>
        <w:t xml:space="preserve">and</w:t>
      </w:r>
      <w:r>
        <w:t xml:space="preserve"> </w:t>
      </w:r>
      <w:r>
        <w:rPr>
          <w:b/>
          <w:bCs/>
        </w:rPr>
        <w:t xml:space="preserve">1222/16</w:t>
      </w:r>
      <w:r>
        <w:t xml:space="preserve">, raising, among other matters, an asserted Berlin territorial residence restriction until 11 October 2007, the asserted failure to forward earlier social-benefit applications under</w:t>
      </w:r>
      <w:r>
        <w:t xml:space="preserve"> </w:t>
      </w:r>
      <w:r>
        <w:rPr>
          <w:b/>
          <w:bCs/>
        </w:rPr>
        <w:t xml:space="preserve">section 16(2) SGB I</w:t>
      </w:r>
      <w:r>
        <w:t xml:space="preserve">, continued medical and housing consequences, and a DVD as evidence. The Committee subsequently declared the submission disposed of again, relying on</w:t>
      </w:r>
      <w:r>
        <w:t xml:space="preserve"> </w:t>
      </w:r>
      <w:r>
        <w:rPr>
          <w:b/>
          <w:bCs/>
        </w:rPr>
        <w:t xml:space="preserve">section 2(3), sentence 2, of the Berlin Petitionsgesetz as then cited by the Committee</w:t>
      </w:r>
      <w:r>
        <w:t xml:space="preserve">, on the basis that a petition may not merely repeat an earlier petition of the same petitioner in the same legislative period without materially new submissions. The response returned the DVD and stated that further equivalent correspondence would no longer be answered. [D7; D8]</w:t>
      </w:r>
    </w:p>
    <w:bookmarkEnd w:id="22"/>
    <w:bookmarkStart w:id="23" w:name="principal-documentary-findings"/>
    <w:p>
      <w:pPr>
        <w:pStyle w:val="Heading2"/>
      </w:pPr>
      <w:r>
        <w:t xml:space="preserve">2. Principal documentary findings</w:t>
      </w:r>
    </w:p>
    <w:p>
      <w:pPr>
        <w:pStyle w:val="FirstParagraph"/>
      </w:pPr>
      <w:r>
        <w:t xml:space="preserve">The examined record supports the following principal findings:</w:t>
      </w:r>
    </w:p>
    <w:p>
      <w:pPr>
        <w:pStyle w:val="Compact"/>
        <w:numPr>
          <w:ilvl w:val="0"/>
          <w:numId w:val="1003"/>
        </w:numPr>
      </w:pPr>
      <w:r>
        <w:rPr>
          <w:b/>
          <w:bCs/>
        </w:rPr>
        <w:t xml:space="preserve">The existence of files 9824/15 and 1222/16 is officially documented.</w:t>
      </w:r>
      <w:r>
        <w:t xml:space="preserve"> </w:t>
      </w:r>
      <w:r>
        <w:t xml:space="preserve">They are not merely asserted numbers; they appear on Berlin parliamentary correspondence supplied by the applicant. [D1, pp. 12, 15, 18, 20, 25, 29, 45; D4-D8]</w:t>
      </w:r>
    </w:p>
    <w:p>
      <w:pPr>
        <w:pStyle w:val="Compact"/>
        <w:numPr>
          <w:ilvl w:val="0"/>
          <w:numId w:val="1003"/>
        </w:numPr>
      </w:pPr>
      <w:r>
        <w:rPr>
          <w:b/>
          <w:bCs/>
        </w:rPr>
        <w:t xml:space="preserve">The public online annual reports of the Berlin Petitions Committee do not identify these individual file numbers or the applicant.</w:t>
      </w:r>
      <w:r>
        <w:t xml:space="preserve"> </w:t>
      </w:r>
      <w:r>
        <w:t xml:space="preserve">The public report for the relevant part of the 16th legislative period contains statistics and anonymised subject areas, not a publicly searchable individual case history. [W3]</w:t>
      </w:r>
    </w:p>
    <w:p>
      <w:pPr>
        <w:pStyle w:val="Compact"/>
        <w:numPr>
          <w:ilvl w:val="0"/>
          <w:numId w:val="1003"/>
        </w:numPr>
      </w:pPr>
      <w:r>
        <w:rPr>
          <w:b/>
          <w:bCs/>
        </w:rPr>
        <w:t xml:space="preserve">No official public online record identifying file 7321/16 in connection with the applicant was located in the searches conducted for this report.</w:t>
      </w:r>
      <w:r>
        <w:t xml:space="preserve"> </w:t>
      </w:r>
      <w:r>
        <w:t xml:space="preserve">This does not disprove the existence of such a file; it means that it is presently unverified in the reviewed materials and the public archive search.</w:t>
      </w:r>
    </w:p>
    <w:p>
      <w:pPr>
        <w:pStyle w:val="Compact"/>
        <w:numPr>
          <w:ilvl w:val="0"/>
          <w:numId w:val="1003"/>
        </w:numPr>
      </w:pPr>
      <w:r>
        <w:rPr>
          <w:b/>
          <w:bCs/>
        </w:rPr>
        <w:t xml:space="preserve">The Berlin Committee did take some procedurally appropriate steps:</w:t>
      </w:r>
      <w:r>
        <w:t xml:space="preserve"> </w:t>
      </w:r>
      <w:r>
        <w:t xml:space="preserve">it registered the petitions, communicated in writing, requested information from identified authorities, and forwarded the pension component to the Bundestag where it considered federal competence decisive. [D1, pp. 12, 20-21, 25, 29-30; W2]</w:t>
      </w:r>
    </w:p>
    <w:p>
      <w:pPr>
        <w:pStyle w:val="Compact"/>
        <w:numPr>
          <w:ilvl w:val="0"/>
          <w:numId w:val="1003"/>
        </w:numPr>
      </w:pPr>
      <w:r>
        <w:rPr>
          <w:b/>
          <w:bCs/>
        </w:rPr>
        <w:t xml:space="preserve">The record also gives rise to substantial procedural concerns:</w:t>
      </w:r>
      <w:r>
        <w:t xml:space="preserve"> </w:t>
      </w:r>
      <w:r>
        <w:t xml:space="preserve">the initial complaint contained grave allegations regarding Berlin authorities, health risks, police treatment and living conditions, but the recorded Berlin responses predominantly addressed benefit categorisation, furniture assistance, residence-administration information and formal health coverage; there is no visible documented examination commensurate with the central allegations of denial of treatment, alleged police abuse, alleged detention-related harm or alleged enduring medical consequences. [D1, pp. 2-11, 20-24, 29-33; D6-D8]</w:t>
      </w:r>
    </w:p>
    <w:p>
      <w:pPr>
        <w:pStyle w:val="Compact"/>
        <w:numPr>
          <w:ilvl w:val="0"/>
          <w:numId w:val="1003"/>
        </w:numPr>
      </w:pPr>
      <w:r>
        <w:rPr>
          <w:b/>
          <w:bCs/>
        </w:rPr>
        <w:t xml:space="preserve">The use of the repeated-petition rule in December 2007 requires critical examination:</w:t>
      </w:r>
      <w:r>
        <w:t xml:space="preserve"> </w:t>
      </w:r>
      <w:r>
        <w:t xml:space="preserve">the applicant’s 1 December 2007 submission asserted at least arguably new circumstances, including the lifting of a Berlin territorial restriction on 11 October 2007, the alleged non-forwarding of benefit applications under section 16(2) SGB I, continuing housing/health consequences and a submitted DVD. The Committee’s closure letter does not visibly explain why these matters were not materially new. [D7; D8]</w:t>
      </w:r>
    </w:p>
    <w:bookmarkEnd w:id="23"/>
    <w:bookmarkStart w:id="24" w:name="Xec48876a38747846813d75da290236d604e6b06"/>
    <w:p>
      <w:pPr>
        <w:pStyle w:val="Heading2"/>
      </w:pPr>
      <w:r>
        <w:t xml:space="preserve">3. Legal character of the identified concerns</w:t>
      </w:r>
    </w:p>
    <w:p>
      <w:pPr>
        <w:pStyle w:val="FirstParagraph"/>
      </w:pPr>
      <w:r>
        <w:t xml:space="preserve">On the materials presently available, it is not appropriate to state as a finally adjudicated fact that the Petitions Committee committed a proven legal violation. The internal petition files, authority reports requested by the Committee, minutes, reporting memoranda and the full contents of the DVD have not been supplied in complete form. However, the record supports a serious, document-based conclusion that the Committee’s handling raises</w:t>
      </w:r>
      <w:r>
        <w:t xml:space="preserve"> </w:t>
      </w:r>
      <w:r>
        <w:rPr>
          <w:b/>
          <w:bCs/>
        </w:rPr>
        <w:t xml:space="preserve">prima facie questions</w:t>
      </w:r>
      <w:r>
        <w:t xml:space="preserve"> </w:t>
      </w:r>
      <w:r>
        <w:t xml:space="preserve">under:</w:t>
      </w:r>
    </w:p>
    <w:p>
      <w:pPr>
        <w:pStyle w:val="Compact"/>
        <w:numPr>
          <w:ilvl w:val="0"/>
          <w:numId w:val="1004"/>
        </w:numPr>
      </w:pPr>
      <w:r>
        <w:rPr>
          <w:b/>
          <w:bCs/>
        </w:rPr>
        <w:t xml:space="preserve">Article 17 of the Basic Law</w:t>
      </w:r>
      <w:r>
        <w:t xml:space="preserve"> </w:t>
      </w:r>
      <w:r>
        <w:t xml:space="preserve">and</w:t>
      </w:r>
      <w:r>
        <w:t xml:space="preserve"> </w:t>
      </w:r>
      <w:r>
        <w:rPr>
          <w:b/>
          <w:bCs/>
        </w:rPr>
        <w:t xml:space="preserve">Article 34 of the Constitution of Berlin</w:t>
      </w:r>
      <w:r>
        <w:t xml:space="preserve">, protecting the right to petition;</w:t>
      </w:r>
    </w:p>
    <w:p>
      <w:pPr>
        <w:pStyle w:val="Compact"/>
        <w:numPr>
          <w:ilvl w:val="0"/>
          <w:numId w:val="1004"/>
        </w:numPr>
      </w:pPr>
      <w:r>
        <w:t xml:space="preserve">the Berlin</w:t>
      </w:r>
      <w:r>
        <w:t xml:space="preserve"> </w:t>
      </w:r>
      <w:r>
        <w:rPr>
          <w:b/>
          <w:bCs/>
        </w:rPr>
        <w:t xml:space="preserve">Petitionsgesetz</w:t>
      </w:r>
      <w:r>
        <w:t xml:space="preserve">, particularly the Committee’s fact-finding powers and its treatment of repeat petitions with allegedly new material;</w:t>
      </w:r>
    </w:p>
    <w:p>
      <w:pPr>
        <w:pStyle w:val="Compact"/>
        <w:numPr>
          <w:ilvl w:val="0"/>
          <w:numId w:val="1004"/>
        </w:numPr>
      </w:pPr>
      <w:r>
        <w:t xml:space="preserve">the obligation to assess the conduct or omission of Berlin authorities in matters concerning social subsistence, medical access, residence administration and police complaints;</w:t>
      </w:r>
    </w:p>
    <w:p>
      <w:pPr>
        <w:pStyle w:val="Compact"/>
        <w:numPr>
          <w:ilvl w:val="0"/>
          <w:numId w:val="1004"/>
        </w:numPr>
      </w:pPr>
      <w:r>
        <w:t xml:space="preserve">the applicant’s constitutional interests in human dignity and physical integrity where the Committee was expressly informed of alleged serious illness, medical deprivation and inadequate living conditions.</w:t>
      </w:r>
    </w:p>
    <w:p>
      <w:pPr>
        <w:pStyle w:val="FirstParagraph"/>
      </w:pPr>
      <w:r>
        <w:t xml:space="preserve">A decisive legal finding would require the complete petition files, including the Committee’s internal deliberative materials and all agency responses.</w:t>
      </w:r>
    </w:p>
    <w:bookmarkEnd w:id="24"/>
    <w:bookmarkEnd w:id="25"/>
    <w:bookmarkStart w:id="30" w:name="mandate-scope-and-analytical-method"/>
    <w:p>
      <w:pPr>
        <w:pStyle w:val="Heading1"/>
      </w:pPr>
      <w:r>
        <w:t xml:space="preserve">1. Mandate, Scope and Analytical Method</w:t>
      </w:r>
    </w:p>
    <w:bookmarkStart w:id="26" w:name="mandate"/>
    <w:p>
      <w:pPr>
        <w:pStyle w:val="Heading2"/>
      </w:pPr>
      <w:r>
        <w:t xml:space="preserve">1.1 Mandate</w:t>
      </w:r>
    </w:p>
    <w:p>
      <w:pPr>
        <w:pStyle w:val="FirstParagraph"/>
      </w:pPr>
      <w:r>
        <w:t xml:space="preserve">The applicant requested a comprehensive English-language legal report, numbered as the fourth report in his existing ChatGPT legal-analysis series, concerning</w:t>
      </w:r>
      <w:r>
        <w:t xml:space="preserve"> </w:t>
      </w:r>
      <w:r>
        <w:rPr>
          <w:b/>
          <w:bCs/>
        </w:rPr>
        <w:t xml:space="preserve">only the Abgeordnetenhaus von Berlin proceedings</w:t>
      </w:r>
      <w:r>
        <w:t xml:space="preserve"> </w:t>
      </w:r>
      <w:r>
        <w:t xml:space="preserve">reflected in his supplied PDFs and the official internet sources identified during research. He requested that the report set out:</w:t>
      </w:r>
    </w:p>
    <w:p>
      <w:pPr>
        <w:pStyle w:val="Compact"/>
        <w:numPr>
          <w:ilvl w:val="0"/>
          <w:numId w:val="1005"/>
        </w:numPr>
      </w:pPr>
      <w:r>
        <w:t xml:space="preserve">what his complaints were based on;</w:t>
      </w:r>
    </w:p>
    <w:p>
      <w:pPr>
        <w:pStyle w:val="Compact"/>
        <w:numPr>
          <w:ilvl w:val="0"/>
          <w:numId w:val="1005"/>
        </w:numPr>
      </w:pPr>
      <w:r>
        <w:t xml:space="preserve">how the Berlin Petitions Committee responded;</w:t>
      </w:r>
    </w:p>
    <w:p>
      <w:pPr>
        <w:pStyle w:val="Compact"/>
        <w:numPr>
          <w:ilvl w:val="0"/>
          <w:numId w:val="1005"/>
        </w:numPr>
      </w:pPr>
      <w:r>
        <w:t xml:space="preserve">what legal provisions governed the Committee’s actions;</w:t>
      </w:r>
    </w:p>
    <w:p>
      <w:pPr>
        <w:pStyle w:val="Compact"/>
        <w:numPr>
          <w:ilvl w:val="0"/>
          <w:numId w:val="1005"/>
        </w:numPr>
      </w:pPr>
      <w:r>
        <w:t xml:space="preserve">what the Committee handled correctly;</w:t>
      </w:r>
    </w:p>
    <w:p>
      <w:pPr>
        <w:pStyle w:val="Compact"/>
        <w:numPr>
          <w:ilvl w:val="0"/>
          <w:numId w:val="1005"/>
        </w:numPr>
      </w:pPr>
      <w:r>
        <w:t xml:space="preserve">what appears not to have been properly examined or reasoned;</w:t>
      </w:r>
    </w:p>
    <w:p>
      <w:pPr>
        <w:pStyle w:val="Compact"/>
        <w:numPr>
          <w:ilvl w:val="0"/>
          <w:numId w:val="1005"/>
        </w:numPr>
      </w:pPr>
      <w:r>
        <w:t xml:space="preserve">which potential legal violations arise from the documentary record;</w:t>
      </w:r>
    </w:p>
    <w:p>
      <w:pPr>
        <w:pStyle w:val="Compact"/>
        <w:numPr>
          <w:ilvl w:val="0"/>
          <w:numId w:val="1005"/>
        </w:numPr>
      </w:pPr>
      <w:r>
        <w:t xml:space="preserve">what the public online archive reveals and fails to reveal about the petition references.</w:t>
      </w:r>
    </w:p>
    <w:bookmarkEnd w:id="26"/>
    <w:bookmarkStart w:id="27" w:name="scope-limitation-berlin-only"/>
    <w:p>
      <w:pPr>
        <w:pStyle w:val="Heading2"/>
      </w:pPr>
      <w:r>
        <w:t xml:space="preserve">1.2 Scope limitation: Berlin only</w:t>
      </w:r>
    </w:p>
    <w:p>
      <w:pPr>
        <w:pStyle w:val="FirstParagraph"/>
      </w:pPr>
      <w:r>
        <w:t xml:space="preserve">This report analyses the Berlin parliamentary petition process. It does</w:t>
      </w:r>
      <w:r>
        <w:t xml:space="preserve"> </w:t>
      </w:r>
      <w:r>
        <w:rPr>
          <w:b/>
          <w:bCs/>
        </w:rPr>
        <w:t xml:space="preserve">not</w:t>
      </w:r>
      <w:r>
        <w:t xml:space="preserve"> </w:t>
      </w:r>
      <w:r>
        <w:t xml:space="preserve">conduct a full substantive review of the German Bundestag petition proceedings. The Bundestag is referenced only because the Berlin correspondence expressly records the transfer of the pension-related complaint to the Bundestag and this transfer is necessary to reconstruct the Berlin proceeding accurately.</w:t>
      </w:r>
    </w:p>
    <w:bookmarkEnd w:id="27"/>
    <w:bookmarkStart w:id="28" w:name="evidence-method"/>
    <w:p>
      <w:pPr>
        <w:pStyle w:val="Heading2"/>
      </w:pPr>
      <w:r>
        <w:t xml:space="preserve">1.3 Evidence method</w:t>
      </w:r>
    </w:p>
    <w:p>
      <w:pPr>
        <w:pStyle w:val="FirstParagraph"/>
      </w:pPr>
      <w:r>
        <w:t xml:space="preserve">The analysis is based on:</w:t>
      </w:r>
    </w:p>
    <w:p>
      <w:pPr>
        <w:pStyle w:val="Compact"/>
        <w:numPr>
          <w:ilvl w:val="0"/>
          <w:numId w:val="1006"/>
        </w:numPr>
      </w:pPr>
      <w:r>
        <w:t xml:space="preserve">scanned documentary material supplied by the applicant, including official Berlin parliamentary correspondence and the applicant’s written objections;</w:t>
      </w:r>
    </w:p>
    <w:p>
      <w:pPr>
        <w:pStyle w:val="Compact"/>
        <w:numPr>
          <w:ilvl w:val="0"/>
          <w:numId w:val="1006"/>
        </w:numPr>
      </w:pPr>
      <w:r>
        <w:t xml:space="preserve">a separate photographic PDF depicting housing/living-condition evidence;</w:t>
      </w:r>
    </w:p>
    <w:p>
      <w:pPr>
        <w:pStyle w:val="Compact"/>
        <w:numPr>
          <w:ilvl w:val="0"/>
          <w:numId w:val="1006"/>
        </w:numPr>
      </w:pPr>
      <w:r>
        <w:t xml:space="preserve">extracted/retrieved copies of component documents from the applicant’s uploaded archive, where these made text more legible;</w:t>
      </w:r>
    </w:p>
    <w:p>
      <w:pPr>
        <w:pStyle w:val="Compact"/>
        <w:numPr>
          <w:ilvl w:val="0"/>
          <w:numId w:val="1006"/>
        </w:numPr>
      </w:pPr>
      <w:r>
        <w:t xml:space="preserve">public official sources of the Berlin House of Representatives and official statutory databases located through internet research on 2 June 2026.</w:t>
      </w:r>
    </w:p>
    <w:p>
      <w:pPr>
        <w:pStyle w:val="FirstParagraph"/>
      </w:pPr>
      <w:r>
        <w:t xml:space="preserve">Because some supplied PDFs consist of scans and the source bundle may contain image-based pages without machine-readable text, exact spelling and dates are controlled by the visible image where OCR is uncertain. For example, automated extraction occasionally omits or duplicates a digit in a file number; the visible correspondence establishes</w:t>
      </w:r>
      <w:r>
        <w:t xml:space="preserve"> </w:t>
      </w:r>
      <w:r>
        <w:rPr>
          <w:b/>
          <w:bCs/>
        </w:rPr>
        <w:t xml:space="preserve">9824/15</w:t>
      </w:r>
      <w:r>
        <w:t xml:space="preserve"> </w:t>
      </w:r>
      <w:r>
        <w:t xml:space="preserve">and</w:t>
      </w:r>
      <w:r>
        <w:t xml:space="preserve"> </w:t>
      </w:r>
      <w:r>
        <w:rPr>
          <w:b/>
          <w:bCs/>
        </w:rPr>
        <w:t xml:space="preserve">1222/16</w:t>
      </w:r>
      <w:r>
        <w:t xml:space="preserve">.</w:t>
      </w:r>
    </w:p>
    <w:bookmarkEnd w:id="28"/>
    <w:bookmarkStart w:id="29" w:name="analytical-standard"/>
    <w:p>
      <w:pPr>
        <w:pStyle w:val="Heading2"/>
      </w:pPr>
      <w:r>
        <w:t xml:space="preserve">1.4 Analytical standard</w:t>
      </w:r>
    </w:p>
    <w:p>
      <w:pPr>
        <w:pStyle w:val="FirstParagraph"/>
      </w:pPr>
      <w:r>
        <w:t xml:space="preserve">This report does not treat every assertion in the applicant’s petitions as independently proven. Rather, it asks whether:</w:t>
      </w:r>
    </w:p>
    <w:p>
      <w:pPr>
        <w:pStyle w:val="Compact"/>
        <w:numPr>
          <w:ilvl w:val="0"/>
          <w:numId w:val="1007"/>
        </w:numPr>
      </w:pPr>
      <w:r>
        <w:t xml:space="preserve">serious complaints were formally brought to the Committee’s attention;</w:t>
      </w:r>
    </w:p>
    <w:p>
      <w:pPr>
        <w:pStyle w:val="Compact"/>
        <w:numPr>
          <w:ilvl w:val="0"/>
          <w:numId w:val="1007"/>
        </w:numPr>
      </w:pPr>
      <w:r>
        <w:t xml:space="preserve">the Committee had jurisdiction or investigatory powers relevant to those complaints;</w:t>
      </w:r>
    </w:p>
    <w:p>
      <w:pPr>
        <w:pStyle w:val="Compact"/>
        <w:numPr>
          <w:ilvl w:val="0"/>
          <w:numId w:val="1007"/>
        </w:numPr>
      </w:pPr>
      <w:r>
        <w:t xml:space="preserve">the response visible in the documents addresses the complaints with adequate scope and reasoning;</w:t>
      </w:r>
    </w:p>
    <w:p>
      <w:pPr>
        <w:pStyle w:val="Compact"/>
        <w:numPr>
          <w:ilvl w:val="0"/>
          <w:numId w:val="1007"/>
        </w:numPr>
      </w:pPr>
      <w:r>
        <w:t xml:space="preserve">closure or transfer decisions were legally explicable on their face;</w:t>
      </w:r>
    </w:p>
    <w:p>
      <w:pPr>
        <w:pStyle w:val="Compact"/>
        <w:numPr>
          <w:ilvl w:val="0"/>
          <w:numId w:val="1007"/>
        </w:numPr>
      </w:pPr>
      <w:r>
        <w:t xml:space="preserve">unresolved evidentiary gaps require preservation and release of the full petition files.</w:t>
      </w:r>
    </w:p>
    <w:bookmarkEnd w:id="29"/>
    <w:bookmarkEnd w:id="30"/>
    <w:bookmarkStart w:id="34" w:name="documentary-corpus-examined"/>
    <w:p>
      <w:pPr>
        <w:pStyle w:val="Heading1"/>
      </w:pPr>
      <w:r>
        <w:t xml:space="preserve">2. Documentary Corpus Examined</w:t>
      </w:r>
    </w:p>
    <w:bookmarkStart w:id="31" w:name="user-supplied-principal-pdf-bundles"/>
    <w:p>
      <w:pPr>
        <w:pStyle w:val="Heading2"/>
      </w:pPr>
      <w:r>
        <w:t xml:space="preserve">2.1 User-supplied principal PDF bundles</w:t>
      </w:r>
    </w:p>
    <w:tbl>
      <w:tblPr>
        <w:tblStyle w:val="Table"/>
        <w:tblW w:type="pct" w:w="5000"/>
        <w:jc w:val="center"/>
        <w:tblLayout w:type="autofit"/>
        <w:tblLook w:firstRow="1" w:lastRow="0" w:firstColumn="0" w:lastColumn="0" w:noHBand="0" w:noVBand="0" w:val="002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2640"/>
        <w:gridCol w:w="2640"/>
        <w:gridCol w:w="2640"/>
      </w:tblGrid>
      <w:tr>
        <w:trPr>
          <w:tblHeader w:val="on"/>
          <w:cantSplit/>
        </w:trPr>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Code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Document</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Relevance</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D1</w:t>
            </w:r>
          </w:p>
        </w:tc>
        <w:tc>
          <w:tcPr>
            <w:vAlign w:val="center"/>
            <w:tcMar>
              <w:top w:w="80" w:type="dxa"/>
              <w:start w:w="90" w:type="dxa"/>
              <w:bottom w:w="80" w:type="dxa"/>
              <w:end w:w="90" w:type="dxa"/>
            </w:tcMar>
          </w:tcPr>
          <w:p>
            <w:pPr>
              <w:pStyle w:val="Compact"/>
              <w:spacing w:after="40" w:line="240" w:lineRule="auto"/>
              <w:jc w:val="left"/>
            </w:pPr>
            <w:r>
              <w:rPr>
                <w:rFonts w:ascii="Aptos" w:hAnsi="Aptos"/>
                <w:b/>
                <w:bCs/>
                <w:sz w:val="17"/>
              </w:rPr>
              <w:t xml:space="preserve">Haz 2, Belge 27.pdf</w:t>
            </w:r>
            <w:r>
              <w:rPr>
                <w:rFonts w:ascii="Aptos" w:hAnsi="Aptos"/>
                <w:sz w:val="17"/>
              </w:rPr>
              <w:t xml:space="preserve"> </w:t>
            </w:r>
            <w:r>
              <w:rPr>
                <w:rFonts w:ascii="Aptos" w:hAnsi="Aptos"/>
                <w:sz w:val="17"/>
              </w:rPr>
              <w:t xml:space="preserve">(scanned bundle supplied on 2 June 2026)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Principal documentary bundle containing the initial 2006 complaint, Berlin correspondence under 9824/15 and 1222/16, applicant objections and related materials.</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D2</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b/>
                <w:bCs/>
                <w:sz w:val="17"/>
              </w:rPr>
              <w:t xml:space="preserve">Haz 2, Belge 36.pdf</w:t>
            </w:r>
            <w:r>
              <w:rPr>
                <w:rFonts w:ascii="Aptos" w:hAnsi="Aptos"/>
                <w:sz w:val="17"/>
              </w:rPr>
              <w:t xml:space="preserve"> </w:t>
            </w:r>
            <w:r>
              <w:rPr>
                <w:rFonts w:ascii="Aptos" w:hAnsi="Aptos"/>
                <w:sz w:val="17"/>
              </w:rPr>
              <w:t xml:space="preserve">(51-page scanned/photo bundle supplied on 2 June 2026)</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Photographic documentation of accommodation and living-condition issues, including restricted sleeping/living space, dispersed belongings and visible condition issues in the accommodation.</w:t>
            </w:r>
          </w:p>
        </w:tc>
      </w:tr>
    </w:tbl>
    <w:bookmarkEnd w:id="31"/>
    <w:bookmarkStart w:id="32" w:name="X61d91b894ca101768a87fd07e3b1c9b29ed555e"/>
    <w:p>
      <w:pPr>
        <w:pStyle w:val="Heading2"/>
      </w:pPr>
      <w:r>
        <w:t xml:space="preserve">2.2 Retrieved component records corroborating the scan bundle</w:t>
      </w:r>
    </w:p>
    <w:tbl>
      <w:tblPr>
        <w:tblStyle w:val="Table"/>
        <w:tblW w:type="pct" w:w="5000"/>
        <w:jc w:val="center"/>
        <w:tblLayout w:type="autofit"/>
        <w:tblLook w:firstRow="1" w:lastRow="0" w:firstColumn="0" w:lastColumn="0" w:noHBand="0" w:noVBand="0" w:val="002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2640"/>
        <w:gridCol w:w="2640"/>
        <w:gridCol w:w="2640"/>
      </w:tblGrid>
      <w:tr>
        <w:trPr>
          <w:tblHeader w:val="on"/>
          <w:cantSplit/>
        </w:trPr>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Code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Record</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Relevant contents</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D3</w:t>
            </w:r>
          </w:p>
        </w:tc>
        <w:tc>
          <w:tcPr>
            <w:vAlign w:val="center"/>
            <w:tcMar>
              <w:top w:w="80" w:type="dxa"/>
              <w:start w:w="90" w:type="dxa"/>
              <w:bottom w:w="80" w:type="dxa"/>
              <w:end w:w="90" w:type="dxa"/>
            </w:tcMar>
          </w:tcPr>
          <w:p>
            <w:pPr>
              <w:pStyle w:val="Compact"/>
              <w:spacing w:after="40" w:line="240" w:lineRule="auto"/>
              <w:jc w:val="left"/>
            </w:pPr>
            <w:r>
              <w:rPr>
                <w:rFonts w:ascii="Aptos" w:hAnsi="Aptos"/>
                <w:b/>
                <w:bCs/>
                <w:sz w:val="17"/>
              </w:rPr>
              <w:t xml:space="preserve">0002.pdf</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Applicant’s 05.09.2006 initial complaint,</w:t>
            </w:r>
            <w:r>
              <w:rPr>
                <w:rFonts w:ascii="Aptos" w:hAnsi="Aptos"/>
                <w:sz w:val="17"/>
              </w:rPr>
              <w:t xml:space="preserve"> </w:t>
            </w:r>
            <w:r>
              <w:rPr>
                <w:rFonts w:ascii="Aptos" w:hAnsi="Aptos"/>
                <w:i/>
                <w:iCs/>
                <w:sz w:val="17"/>
              </w:rPr>
              <w:t xml:space="preserve">Beschwerde ueber Justiz und Beamtenwillkuer in Berlin</w:t>
            </w:r>
            <w:r>
              <w:rPr>
                <w:rFonts w:ascii="Aptos" w:hAnsi="Aptos"/>
                <w:sz w:val="17"/>
              </w:rPr>
              <w:t xml:space="preserve">.</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D4</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b/>
                <w:bCs/>
                <w:sz w:val="17"/>
              </w:rPr>
              <w:t xml:space="preserve">0003.pdf</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Correspondence and applicant supplements relating to 9824/15 and 1222/16; includes the substantive 9824/15 response and supporting submissions.</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D5</w:t>
            </w:r>
          </w:p>
        </w:tc>
        <w:tc>
          <w:tcPr>
            <w:vAlign w:val="center"/>
            <w:tcMar>
              <w:top w:w="80" w:type="dxa"/>
              <w:start w:w="90" w:type="dxa"/>
              <w:bottom w:w="80" w:type="dxa"/>
              <w:end w:w="90" w:type="dxa"/>
            </w:tcMar>
          </w:tcPr>
          <w:p>
            <w:pPr>
              <w:pStyle w:val="Compact"/>
              <w:spacing w:after="40" w:line="240" w:lineRule="auto"/>
              <w:jc w:val="left"/>
            </w:pPr>
            <w:r>
              <w:rPr>
                <w:rFonts w:ascii="Aptos" w:hAnsi="Aptos"/>
                <w:b/>
                <w:bCs/>
                <w:sz w:val="17"/>
              </w:rPr>
              <w:t xml:space="preserve">0005.pdf</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08.10.2007 acknowledgment of the 24.09.2007 supplement under 1222/16, concerning additional furniture/carpet assistance and health insurance.</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D6</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b/>
                <w:bCs/>
                <w:sz w:val="17"/>
              </w:rPr>
              <w:t xml:space="preserve">0006.pdf</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November 2007 reconsideration response under 1222/16 addressing medication/therapy allegations, section 264 SGB V/AOK arrangement, housing equipment and the limits of intervention in court proceedings.</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D7</w:t>
            </w:r>
          </w:p>
        </w:tc>
        <w:tc>
          <w:tcPr>
            <w:vAlign w:val="center"/>
            <w:tcMar>
              <w:top w:w="80" w:type="dxa"/>
              <w:start w:w="90" w:type="dxa"/>
              <w:bottom w:w="80" w:type="dxa"/>
              <w:end w:w="90" w:type="dxa"/>
            </w:tcMar>
          </w:tcPr>
          <w:p>
            <w:pPr>
              <w:pStyle w:val="Compact"/>
              <w:spacing w:after="40" w:line="240" w:lineRule="auto"/>
              <w:jc w:val="left"/>
            </w:pPr>
            <w:r>
              <w:rPr>
                <w:rFonts w:ascii="Aptos" w:hAnsi="Aptos"/>
                <w:b/>
                <w:bCs/>
                <w:sz w:val="17"/>
              </w:rPr>
              <w:t xml:space="preserve">0007.pdf</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Applicant’s 01.12.2007</w:t>
            </w:r>
            <w:r>
              <w:rPr>
                <w:rFonts w:ascii="Aptos" w:hAnsi="Aptos"/>
                <w:sz w:val="17"/>
              </w:rPr>
              <w:t xml:space="preserve"> </w:t>
            </w:r>
            <w:r>
              <w:rPr>
                <w:rFonts w:ascii="Aptos" w:hAnsi="Aptos"/>
                <w:i/>
                <w:iCs/>
                <w:sz w:val="17"/>
              </w:rPr>
              <w:t xml:space="preserve">Letzte Beschwerde</w:t>
            </w:r>
            <w:r>
              <w:rPr>
                <w:rFonts w:ascii="Aptos" w:hAnsi="Aptos"/>
                <w:sz w:val="17"/>
              </w:rPr>
              <w:t xml:space="preserve">, expressly referencing 9824/15 and 1222/16.</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D8</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b/>
                <w:bCs/>
                <w:sz w:val="17"/>
              </w:rPr>
              <w:t xml:space="preserve">0008.pdf</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December 2007 closure response relying on section 2(3), sentence 2, Petitionsgesetz and returning a DVD.</w:t>
            </w:r>
          </w:p>
        </w:tc>
      </w:tr>
    </w:tbl>
    <w:bookmarkEnd w:id="32"/>
    <w:bookmarkStart w:id="33" w:name="Xc35eafded5c87303d1eea47c9d5b8d2d1c1278b"/>
    <w:p>
      <w:pPr>
        <w:pStyle w:val="Heading2"/>
      </w:pPr>
      <w:r>
        <w:t xml:space="preserve">2.3 Official public internet sources examined</w:t>
      </w:r>
    </w:p>
    <w:tbl>
      <w:tblPr>
        <w:tblStyle w:val="Table"/>
        <w:tblW w:type="pct" w:w="5000"/>
        <w:jc w:val="center"/>
        <w:tblLayout w:type="autofit"/>
        <w:tblLook w:firstRow="1" w:lastRow="0" w:firstColumn="0" w:lastColumn="0" w:noHBand="0" w:noVBand="0" w:val="002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2640"/>
        <w:gridCol w:w="2640"/>
        <w:gridCol w:w="2640"/>
      </w:tblGrid>
      <w:tr>
        <w:trPr>
          <w:tblHeader w:val="on"/>
          <w:cantSplit/>
        </w:trPr>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Code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Official public source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Relevance</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W1</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Abgeordnetenhaus Berlin,</w:t>
            </w:r>
            <w:r>
              <w:rPr>
                <w:rFonts w:ascii="Aptos" w:hAnsi="Aptos"/>
                <w:sz w:val="17"/>
              </w:rPr>
              <w:t xml:space="preserve"> </w:t>
            </w:r>
            <w:r>
              <w:rPr>
                <w:rFonts w:ascii="Aptos" w:hAnsi="Aptos"/>
                <w:i/>
                <w:iCs/>
                <w:sz w:val="17"/>
              </w:rPr>
              <w:t xml:space="preserve">Petitionsverfahren und Datenschutz</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Current official explanation of petition right, competence, forwarding, and non-competence over court decisions and federal bodies.</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W2</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Abgeordnetenhaus Berlin, official consolidated</w:t>
            </w:r>
            <w:r>
              <w:rPr>
                <w:rFonts w:ascii="Aptos" w:hAnsi="Aptos"/>
                <w:sz w:val="17"/>
              </w:rPr>
              <w:t xml:space="preserve"> </w:t>
            </w:r>
            <w:r>
              <w:rPr>
                <w:rFonts w:ascii="Aptos" w:hAnsi="Aptos"/>
                <w:i/>
                <w:iCs/>
                <w:sz w:val="17"/>
              </w:rPr>
              <w:t xml:space="preserve">Petitionsgesetz</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Statutory powers and decision forms; current consolidation is used with caution because the 2007 Committee cited the numbering then in force.</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W3</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Abgeordnetenhaus Berlin, Drucksache 16/1150, report for 14.11.2006-13.11.2007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Official public activity report covering the period of file 1222/16 and part of the relevant events.</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W4</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Abgeordnetenhaus Berlin, official legal opinion dated 24.11.2017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Confirms that the Petitionsgesetz applicable in the relevant historical period had last been amended by statute of 6 July 2006 (GVBl. p. 710).</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W5</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Official federal legislation portals: section 16 SGB I, section 264 SGB V and section 4 AsylbLG</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Statutory context for application forwarding and health-care provision raised in the correspondence.</w:t>
            </w:r>
          </w:p>
        </w:tc>
      </w:tr>
    </w:tbl>
    <w:bookmarkEnd w:id="33"/>
    <w:bookmarkEnd w:id="34"/>
    <w:bookmarkStart w:id="38" w:name="public-archive-research-result"/>
    <w:p>
      <w:pPr>
        <w:pStyle w:val="Heading1"/>
      </w:pPr>
      <w:r>
        <w:t xml:space="preserve">3. Public Archive Research Result</w:t>
      </w:r>
    </w:p>
    <w:bookmarkStart w:id="35" w:name="what-was-located-online"/>
    <w:p>
      <w:pPr>
        <w:pStyle w:val="Heading2"/>
      </w:pPr>
      <w:r>
        <w:t xml:space="preserve">3.1 What was located online</w:t>
      </w:r>
    </w:p>
    <w:p>
      <w:pPr>
        <w:pStyle w:val="FirstParagraph"/>
      </w:pPr>
      <w:r>
        <w:t xml:space="preserve">The official Berlin parliamentary public record contains general reports on the activity of the Petitions Committee. The most directly relevant public report is</w:t>
      </w:r>
      <w:r>
        <w:t xml:space="preserve"> </w:t>
      </w:r>
      <w:r>
        <w:rPr>
          <w:b/>
          <w:bCs/>
        </w:rPr>
        <w:t xml:space="preserve">Drucksache 16/1150</w:t>
      </w:r>
      <w:r>
        <w:t xml:space="preserve">, dated 7 February 2008, covering the period from 14 November 2006 to 13 November 2007. The report states that the Committee received</w:t>
      </w:r>
      <w:r>
        <w:t xml:space="preserve"> </w:t>
      </w:r>
      <w:r>
        <w:rPr>
          <w:b/>
          <w:bCs/>
        </w:rPr>
        <w:t xml:space="preserve">1,861 petitions</w:t>
      </w:r>
      <w:r>
        <w:t xml:space="preserve"> </w:t>
      </w:r>
      <w:r>
        <w:t xml:space="preserve">and</w:t>
      </w:r>
      <w:r>
        <w:t xml:space="preserve"> </w:t>
      </w:r>
      <w:r>
        <w:rPr>
          <w:b/>
          <w:bCs/>
        </w:rPr>
        <w:t xml:space="preserve">1,557 supplementary submissions or requests to revisit completed petitions</w:t>
      </w:r>
      <w:r>
        <w:t xml:space="preserve">, and finally dealt with</w:t>
      </w:r>
      <w:r>
        <w:t xml:space="preserve"> </w:t>
      </w:r>
      <w:r>
        <w:rPr>
          <w:b/>
          <w:bCs/>
        </w:rPr>
        <w:t xml:space="preserve">2,085 petitions</w:t>
      </w:r>
      <w:r>
        <w:t xml:space="preserve"> </w:t>
      </w:r>
      <w:r>
        <w:t xml:space="preserve">in 39 sittings. It lists subject areas including social welfare, AOK Berlin, Deutsche Rentenversicherung Berlin-Brandenburg, residence matters, justice and security/order. [W3]</w:t>
      </w:r>
    </w:p>
    <w:p>
      <w:pPr>
        <w:pStyle w:val="BodyText"/>
      </w:pPr>
      <w:r>
        <w:t xml:space="preserve">The official web explanation further confirms that the Berlin Committee examines the acts and omissions of Berlin authorities, may address foreigner-law matters and police/Ordnungsamt complaints, cannot review or change judicial decisions, and cannot determine the conduct of federal bodies such as Deutsche Rentenversicherung Bund; where another authority is responsible, it can forward a petition to the competent body. [W1]</w:t>
      </w:r>
    </w:p>
    <w:bookmarkEnd w:id="35"/>
    <w:bookmarkStart w:id="36" w:name="what-was-not-located-online"/>
    <w:p>
      <w:pPr>
        <w:pStyle w:val="Heading2"/>
      </w:pPr>
      <w:r>
        <w:t xml:space="preserve">3.2 What was not located online</w:t>
      </w:r>
    </w:p>
    <w:p>
      <w:pPr>
        <w:pStyle w:val="FirstParagraph"/>
      </w:pPr>
      <w:r>
        <w:t xml:space="preserve">The official public archive search performed for this report did</w:t>
      </w:r>
      <w:r>
        <w:t xml:space="preserve"> </w:t>
      </w:r>
      <w:r>
        <w:rPr>
          <w:b/>
          <w:bCs/>
        </w:rPr>
        <w:t xml:space="preserve">not</w:t>
      </w:r>
      <w:r>
        <w:t xml:space="preserve"> </w:t>
      </w:r>
      <w:r>
        <w:t xml:space="preserve">reveal a publicly accessible individual entry that identifies:</w:t>
      </w:r>
    </w:p>
    <w:p>
      <w:pPr>
        <w:pStyle w:val="Compact"/>
        <w:numPr>
          <w:ilvl w:val="0"/>
          <w:numId w:val="1008"/>
        </w:numPr>
      </w:pPr>
      <w:r>
        <w:rPr>
          <w:b/>
          <w:bCs/>
        </w:rPr>
        <w:t xml:space="preserve">Geschäftszeichen 9824/15</w:t>
      </w:r>
      <w:r>
        <w:t xml:space="preserve"> </w:t>
      </w:r>
      <w:r>
        <w:t xml:space="preserve">as the applicant’s file;</w:t>
      </w:r>
    </w:p>
    <w:p>
      <w:pPr>
        <w:pStyle w:val="Compact"/>
        <w:numPr>
          <w:ilvl w:val="0"/>
          <w:numId w:val="1008"/>
        </w:numPr>
      </w:pPr>
      <w:r>
        <w:rPr>
          <w:b/>
          <w:bCs/>
        </w:rPr>
        <w:t xml:space="preserve">Geschäftszeichen 1222/16</w:t>
      </w:r>
      <w:r>
        <w:t xml:space="preserve"> </w:t>
      </w:r>
      <w:r>
        <w:t xml:space="preserve">as the applicant’s file;</w:t>
      </w:r>
    </w:p>
    <w:p>
      <w:pPr>
        <w:pStyle w:val="Compact"/>
        <w:numPr>
          <w:ilvl w:val="0"/>
          <w:numId w:val="1008"/>
        </w:numPr>
      </w:pPr>
      <w:r>
        <w:rPr>
          <w:b/>
          <w:bCs/>
        </w:rPr>
        <w:t xml:space="preserve">Geschäftszeichen 7321/16</w:t>
      </w:r>
      <w:r>
        <w:t xml:space="preserve"> </w:t>
      </w:r>
      <w:r>
        <w:t xml:space="preserve">in connection with the applicant;</w:t>
      </w:r>
    </w:p>
    <w:p>
      <w:pPr>
        <w:pStyle w:val="Compact"/>
        <w:numPr>
          <w:ilvl w:val="0"/>
          <w:numId w:val="1008"/>
        </w:numPr>
      </w:pPr>
      <w:r>
        <w:t xml:space="preserve">the full contents, annexes, authority reports or decision reasoning of any such individual petition.</w:t>
      </w:r>
    </w:p>
    <w:p>
      <w:pPr>
        <w:pStyle w:val="FirstParagraph"/>
      </w:pPr>
      <w:r>
        <w:t xml:space="preserve">This absence is consistent with the character of the official public annual reports, which contain aggregate statistics and selected anonymised case examples rather than a searchable public index of individual petitioners and file numbers. Consequently, it is the applicant’s supplied official correspondence, not the public annual report, that presently proves the existence and contents of</w:t>
      </w:r>
      <w:r>
        <w:t xml:space="preserve"> </w:t>
      </w:r>
      <w:r>
        <w:rPr>
          <w:b/>
          <w:bCs/>
        </w:rPr>
        <w:t xml:space="preserve">9824/15</w:t>
      </w:r>
      <w:r>
        <w:t xml:space="preserve"> </w:t>
      </w:r>
      <w:r>
        <w:t xml:space="preserve">and</w:t>
      </w:r>
      <w:r>
        <w:t xml:space="preserve"> </w:t>
      </w:r>
      <w:r>
        <w:rPr>
          <w:b/>
          <w:bCs/>
        </w:rPr>
        <w:t xml:space="preserve">1222/16</w:t>
      </w:r>
      <w:r>
        <w:t xml:space="preserve">.</w:t>
      </w:r>
    </w:p>
    <w:bookmarkEnd w:id="36"/>
    <w:bookmarkStart w:id="37" w:name="status-of-732116"/>
    <w:p>
      <w:pPr>
        <w:pStyle w:val="Heading2"/>
      </w:pPr>
      <w:r>
        <w:t xml:space="preserve">3.3 Status of 7321/16</w:t>
      </w:r>
    </w:p>
    <w:p>
      <w:pPr>
        <w:pStyle w:val="FirstParagraph"/>
      </w:pPr>
      <w:r>
        <w:t xml:space="preserve">No official letter carrying</w:t>
      </w:r>
      <w:r>
        <w:t xml:space="preserve"> </w:t>
      </w:r>
      <w:r>
        <w:rPr>
          <w:b/>
          <w:bCs/>
        </w:rPr>
        <w:t xml:space="preserve">7321/16</w:t>
      </w:r>
      <w:r>
        <w:t xml:space="preserve"> </w:t>
      </w:r>
      <w:r>
        <w:t xml:space="preserve">was located within the presently visible/retrieved materials, and no public official online record linking that reference to the applicant was located. Accordingly, this report records</w:t>
      </w:r>
      <w:r>
        <w:t xml:space="preserve"> </w:t>
      </w:r>
      <w:r>
        <w:rPr>
          <w:b/>
          <w:bCs/>
        </w:rPr>
        <w:t xml:space="preserve">7321/16 as alleged/reported by the applicant but not yet documentarily verified</w:t>
      </w:r>
      <w:r>
        <w:t xml:space="preserve">. It should be the subject of a targeted request to the Berlin Petitions Committee for confirmation and disclosure of the related file register entry and decision, if any.</w:t>
      </w:r>
    </w:p>
    <w:bookmarkEnd w:id="37"/>
    <w:bookmarkEnd w:id="38"/>
    <w:bookmarkStart w:id="45" w:name="applicable-legal-framework"/>
    <w:p>
      <w:pPr>
        <w:pStyle w:val="Heading1"/>
      </w:pPr>
      <w:r>
        <w:t xml:space="preserve">4. Applicable Legal Framework</w:t>
      </w:r>
    </w:p>
    <w:bookmarkStart w:id="39" w:name="X746d4a3cf0912367f62adb930c6b793e00681e6"/>
    <w:p>
      <w:pPr>
        <w:pStyle w:val="Heading2"/>
      </w:pPr>
      <w:r>
        <w:t xml:space="preserve">4.1 Right of petition: Article 17 Basic Law and Article 34 Constitution of Berlin</w:t>
      </w:r>
    </w:p>
    <w:p>
      <w:pPr>
        <w:pStyle w:val="FirstParagraph"/>
      </w:pPr>
      <w:r>
        <w:t xml:space="preserve">The official Berlin Parliament explains that the right to petition is a fundamental right anchored in</w:t>
      </w:r>
      <w:r>
        <w:t xml:space="preserve"> </w:t>
      </w:r>
      <w:r>
        <w:rPr>
          <w:b/>
          <w:bCs/>
        </w:rPr>
        <w:t xml:space="preserve">Article 17 of the Basic Law</w:t>
      </w:r>
      <w:r>
        <w:t xml:space="preserve"> </w:t>
      </w:r>
      <w:r>
        <w:t xml:space="preserve">and</w:t>
      </w:r>
      <w:r>
        <w:t xml:space="preserve"> </w:t>
      </w:r>
      <w:r>
        <w:rPr>
          <w:b/>
          <w:bCs/>
        </w:rPr>
        <w:t xml:space="preserve">Article 34 of the Constitution of Berlin</w:t>
      </w:r>
      <w:r>
        <w:t xml:space="preserve">. It applies regardless of age, residence, nationality or legal support status, and no person may suffer a disadvantage from exercising it. [W1]</w:t>
      </w:r>
    </w:p>
    <w:p>
      <w:pPr>
        <w:pStyle w:val="BodyText"/>
      </w:pPr>
      <w:r>
        <w:t xml:space="preserve">For this case, that legal framework means that the applicant was entitled to submit complaints concerning alleged omissions or misconduct of Berlin authorities, including social welfare administration, residence administration and complaints concerning police or regulatory authorities.</w:t>
      </w:r>
    </w:p>
    <w:bookmarkEnd w:id="39"/>
    <w:bookmarkStart w:id="40" w:name="Xb38869708cd58333f546542fa9c966c2346f98e"/>
    <w:p>
      <w:pPr>
        <w:pStyle w:val="Heading2"/>
      </w:pPr>
      <w:r>
        <w:t xml:space="preserve">4.2 Petitionsgesetz Berlin: competence and discretionary decision-making</w:t>
      </w:r>
    </w:p>
    <w:p>
      <w:pPr>
        <w:pStyle w:val="FirstParagraph"/>
      </w:pPr>
      <w:r>
        <w:t xml:space="preserve">The current official consolidated Petitionsgesetz provides that petitions are decided by the Petitions Committee according to proper discretion (</w:t>
      </w:r>
      <w:r>
        <w:rPr>
          <w:i/>
          <w:iCs/>
        </w:rPr>
        <w:t xml:space="preserve">pflichtgemaesses Ermessen</w:t>
      </w:r>
      <w:r>
        <w:t xml:space="preserve">) and that the Committee may act where important circumstances become known to it by other means. [W2, section 4]</w:t>
      </w:r>
    </w:p>
    <w:p>
      <w:pPr>
        <w:pStyle w:val="BodyText"/>
      </w:pPr>
      <w:r>
        <w:t xml:space="preserve">For the relevant 2006-2007 period, an official later Berlin parliamentary legal opinion confirms that the Petitionsgesetz then in effect had been last amended by the statute of</w:t>
      </w:r>
      <w:r>
        <w:t xml:space="preserve"> </w:t>
      </w:r>
      <w:r>
        <w:rPr>
          <w:b/>
          <w:bCs/>
        </w:rPr>
        <w:t xml:space="preserve">6 July 2006</w:t>
      </w:r>
      <w:r>
        <w:t xml:space="preserve">. The December 2007 decision in this case quotes the rule then relied upon as</w:t>
      </w:r>
      <w:r>
        <w:t xml:space="preserve"> </w:t>
      </w:r>
      <w:r>
        <w:rPr>
          <w:b/>
          <w:bCs/>
        </w:rPr>
        <w:t xml:space="preserve">section 2(3), sentence 2</w:t>
      </w:r>
      <w:r>
        <w:t xml:space="preserve">, prohibiting a petition from merely repeating an earlier petition by the same petitioner in the same legislative period without materially new submissions. [W4; D8]</w:t>
      </w:r>
    </w:p>
    <w:p>
      <w:pPr>
        <w:pStyle w:val="BodyText"/>
      </w:pPr>
      <w:r>
        <w:t xml:space="preserve">The modern consolidation now places comparable wording within a differently structured section 2. The present report therefore uses the historical reference as cited in the contemporaneous decision rather than assuming modern numbering applied unchanged in 2007.</w:t>
      </w:r>
    </w:p>
    <w:bookmarkEnd w:id="40"/>
    <w:bookmarkStart w:id="41" w:name="fact-finding-powers-of-the-committee"/>
    <w:p>
      <w:pPr>
        <w:pStyle w:val="Heading2"/>
      </w:pPr>
      <w:r>
        <w:t xml:space="preserve">4.3 Fact-finding powers of the Committee</w:t>
      </w:r>
    </w:p>
    <w:p>
      <w:pPr>
        <w:pStyle w:val="FirstParagraph"/>
      </w:pPr>
      <w:r>
        <w:t xml:space="preserve">The official statutory text grants the Committee substantial investigative means. In summary, it may:</w:t>
      </w:r>
    </w:p>
    <w:p>
      <w:pPr>
        <w:pStyle w:val="Compact"/>
        <w:numPr>
          <w:ilvl w:val="0"/>
          <w:numId w:val="1009"/>
        </w:numPr>
      </w:pPr>
      <w:r>
        <w:t xml:space="preserve">hear petitioners and other persons concerned;</w:t>
      </w:r>
    </w:p>
    <w:p>
      <w:pPr>
        <w:pStyle w:val="Compact"/>
        <w:numPr>
          <w:ilvl w:val="0"/>
          <w:numId w:val="1009"/>
        </w:numPr>
      </w:pPr>
      <w:r>
        <w:t xml:space="preserve">demand oral or written information and reports from Berlin authorities and supervised bodies;</w:t>
      </w:r>
    </w:p>
    <w:p>
      <w:pPr>
        <w:pStyle w:val="Compact"/>
        <w:numPr>
          <w:ilvl w:val="0"/>
          <w:numId w:val="1009"/>
        </w:numPr>
      </w:pPr>
      <w:r>
        <w:t xml:space="preserve">demand production of files and other records;</w:t>
      </w:r>
    </w:p>
    <w:p>
      <w:pPr>
        <w:pStyle w:val="Compact"/>
        <w:numPr>
          <w:ilvl w:val="0"/>
          <w:numId w:val="1009"/>
        </w:numPr>
      </w:pPr>
      <w:r>
        <w:t xml:space="preserve">conduct site inspections;</w:t>
      </w:r>
    </w:p>
    <w:p>
      <w:pPr>
        <w:pStyle w:val="Compact"/>
        <w:numPr>
          <w:ilvl w:val="0"/>
          <w:numId w:val="1009"/>
        </w:numPr>
      </w:pPr>
      <w:r>
        <w:t xml:space="preserve">inspect detention, closed medical/care facilities and other Berlin institutions used for custody of persons, without prior announcement, and speak privately with detained persons;</w:t>
      </w:r>
    </w:p>
    <w:p>
      <w:pPr>
        <w:pStyle w:val="Compact"/>
        <w:numPr>
          <w:ilvl w:val="0"/>
          <w:numId w:val="1009"/>
        </w:numPr>
      </w:pPr>
      <w:r>
        <w:t xml:space="preserve">hear witnesses and experts;</w:t>
      </w:r>
    </w:p>
    <w:p>
      <w:pPr>
        <w:pStyle w:val="Compact"/>
        <w:numPr>
          <w:ilvl w:val="0"/>
          <w:numId w:val="1009"/>
        </w:numPr>
      </w:pPr>
      <w:r>
        <w:t xml:space="preserve">where its own powers are insufficient, seek the establishment of an investigation committee by majority decision. [W2, sections 5-6]</w:t>
      </w:r>
    </w:p>
    <w:p>
      <w:pPr>
        <w:pStyle w:val="FirstParagraph"/>
      </w:pPr>
      <w:r>
        <w:t xml:space="preserve">These powers are important because the applicant’s original complaint did not raise only ordinary benefit disagreement: it alleged historical detention-related abuse, medical deprivation, police violence, psychiatric treatment concerns and serious ongoing effects on health and living conditions.</w:t>
      </w:r>
    </w:p>
    <w:bookmarkEnd w:id="41"/>
    <w:bookmarkStart w:id="42" w:name="Xbcdd3792910dbc3d46244eb1b104815a022233e"/>
    <w:p>
      <w:pPr>
        <w:pStyle w:val="Heading2"/>
      </w:pPr>
      <w:r>
        <w:t xml:space="preserve">4.4 Forms of decision and competence boundaries</w:t>
      </w:r>
    </w:p>
    <w:p>
      <w:pPr>
        <w:pStyle w:val="FirstParagraph"/>
      </w:pPr>
      <w:r>
        <w:t xml:space="preserve">The official statutory framework permits the Committee, inter alia, to refer a petition to the Senate for knowledge, review or specified measures; advise the petitioner to exhaust legal remedies; declare a petition disposed of; reject or forward it to another competent body; or find it unsuitable for further treatment. [W2, section 7]</w:t>
      </w:r>
    </w:p>
    <w:p>
      <w:pPr>
        <w:pStyle w:val="BodyText"/>
      </w:pPr>
      <w:r>
        <w:t xml:space="preserve">The official Berlin guidance states that the Committee may review Berlin administrative conduct but cannot alter judicial decisions and cannot itself investigate federal authorities such as Deutsche Rentenversicherung Bund; it can, however, forward the relevant component to the competent body. [W1]</w:t>
      </w:r>
    </w:p>
    <w:bookmarkEnd w:id="42"/>
    <w:bookmarkStart w:id="43" w:name="X17843b1d858cdd30834bebda4b6182f90e32d2e"/>
    <w:p>
      <w:pPr>
        <w:pStyle w:val="Heading2"/>
      </w:pPr>
      <w:r>
        <w:t xml:space="preserve">4.5 Social-benefit application forwarding: section 16(2) SGB I</w:t>
      </w:r>
    </w:p>
    <w:p>
      <w:pPr>
        <w:pStyle w:val="FirstParagraph"/>
      </w:pPr>
      <w:r>
        <w:t xml:space="preserve">The applicant expressly relied on</w:t>
      </w:r>
      <w:r>
        <w:t xml:space="preserve"> </w:t>
      </w:r>
      <w:r>
        <w:rPr>
          <w:b/>
          <w:bCs/>
        </w:rPr>
        <w:t xml:space="preserve">section 16(2) SGB I</w:t>
      </w:r>
      <w:r>
        <w:t xml:space="preserve"> </w:t>
      </w:r>
      <w:r>
        <w:t xml:space="preserve">in his 1 December 2007 complaint. Official federal law provides, in substance, that applications for social benefits may also be received by other social benefit providers and municipal authorities and must be forwarded without delay to the competent provider; the receipt date is preserved for benefit purposes. [W5]</w:t>
      </w:r>
    </w:p>
    <w:p>
      <w:pPr>
        <w:pStyle w:val="BodyText"/>
      </w:pPr>
      <w:r>
        <w:t xml:space="preserve">This norm is relevant not because the report can presently prove that an application was unlawfully withheld, but because the applicant raised a concrete statutory complaint: he alleged that earlier applications submitted to Sozialamt/Jobcenter bodies should have been transferred to the competent office and were not.</w:t>
      </w:r>
    </w:p>
    <w:bookmarkEnd w:id="43"/>
    <w:bookmarkStart w:id="44" w:name="X28a249a619dc8cb9daf2dbc21afa1a4491ee268"/>
    <w:p>
      <w:pPr>
        <w:pStyle w:val="Heading2"/>
      </w:pPr>
      <w:r>
        <w:t xml:space="preserve">4.6 Health-care provision: section 264 SGB V and section 4 AsylbLG</w:t>
      </w:r>
    </w:p>
    <w:p>
      <w:pPr>
        <w:pStyle w:val="FirstParagraph"/>
      </w:pPr>
      <w:r>
        <w:t xml:space="preserve">The Committee relied in its November 2007 response on</w:t>
      </w:r>
      <w:r>
        <w:t xml:space="preserve"> </w:t>
      </w:r>
      <w:r>
        <w:rPr>
          <w:b/>
          <w:bCs/>
        </w:rPr>
        <w:t xml:space="preserve">section 264 SGB V</w:t>
      </w:r>
      <w:r>
        <w:t xml:space="preserve">, stating that the social-assistance provider had registered the applicant with AOK Berlin, thereby enabling access to statutory health-service benefits through cost reimbursement. [D6]</w:t>
      </w:r>
    </w:p>
    <w:p>
      <w:pPr>
        <w:pStyle w:val="BodyText"/>
      </w:pPr>
      <w:r>
        <w:t xml:space="preserve">Official statutory sources confirm that section 264 SGB V concerns health treatment for persons not compulsorily insured, and section 4 AsylbLG concerns necessary medical and dental treatment for acute illness and pain. [W5]</w:t>
      </w:r>
    </w:p>
    <w:p>
      <w:pPr>
        <w:pStyle w:val="BodyText"/>
      </w:pPr>
      <w:r>
        <w:t xml:space="preserve">The legal question in this case is not simply whether a formal route to treatment existed. The applicant’s petition alleged that medicines, therapies and necessary care had in fact been denied or obstructed despite serious illness. A procedurally sufficient petition assessment would therefore need to address both formal entitlement and practical access/evidence of denial.</w:t>
      </w:r>
    </w:p>
    <w:bookmarkEnd w:id="44"/>
    <w:bookmarkEnd w:id="45"/>
    <w:bookmarkStart w:id="83" w:name="Xad9a5b4afd07dfafa0f352727e57847ffd6dd27"/>
    <w:p>
      <w:pPr>
        <w:pStyle w:val="Heading1"/>
      </w:pPr>
      <w:r>
        <w:t xml:space="preserve">5. Chronological Reconstruction of the Berlin Petition Proceedings</w:t>
      </w:r>
    </w:p>
    <w:bookmarkStart w:id="46" w:name="X8cc81cf0fbbe7b5ad7517e22002f69a0a98984c"/>
    <w:p>
      <w:pPr>
        <w:pStyle w:val="Heading2"/>
      </w:pPr>
      <w:r>
        <w:t xml:space="preserve">5.1 The originating complaint: 5 September 2006</w:t>
      </w:r>
    </w:p>
    <w:p>
      <w:pPr>
        <w:pStyle w:val="FirstParagraph"/>
      </w:pPr>
      <w:r>
        <w:t xml:space="preserve">On 5 September 2006, the applicant addressed a ten-page submission to the Abgeordnetenhaus of Berlin entitled</w:t>
      </w:r>
      <w:r>
        <w:t xml:space="preserve"> </w:t>
      </w:r>
      <w:r>
        <w:rPr>
          <w:b/>
          <w:bCs/>
        </w:rPr>
        <w:t xml:space="preserve">“</w:t>
      </w:r>
      <w:r>
        <w:rPr>
          <w:b/>
          <w:bCs/>
        </w:rPr>
        <w:t xml:space="preserve">Beschwerde ueber Justiz und Beamtenwillkuer in Berlin</w:t>
      </w:r>
      <w:r>
        <w:rPr>
          <w:b/>
          <w:bCs/>
        </w:rPr>
        <w:t xml:space="preserve">”</w:t>
      </w:r>
      <w:r>
        <w:t xml:space="preserve"> </w:t>
      </w:r>
      <w:r>
        <w:t xml:space="preserve">(Complaint concerning justice and official arbitrariness in Berlin). [D1, pp. 2-11; D3]</w:t>
      </w:r>
    </w:p>
    <w:p>
      <w:pPr>
        <w:pStyle w:val="BodyText"/>
      </w:pPr>
      <w:r>
        <w:t xml:space="preserve">The submission contained the following allegations, recorded here as allegations made to the Committee:</w:t>
      </w:r>
    </w:p>
    <w:p>
      <w:pPr>
        <w:pStyle w:val="Compact"/>
        <w:numPr>
          <w:ilvl w:val="0"/>
          <w:numId w:val="1010"/>
        </w:numPr>
      </w:pPr>
      <w:r>
        <w:t xml:space="preserve">In 1998, the applicant was allegedly placed in immigration detention without lawful basis and denied medical care during approximately three and a half months of detention, causing serious chronic illness.</w:t>
      </w:r>
    </w:p>
    <w:p>
      <w:pPr>
        <w:pStyle w:val="Compact"/>
        <w:numPr>
          <w:ilvl w:val="0"/>
          <w:numId w:val="1010"/>
        </w:numPr>
      </w:pPr>
      <w:r>
        <w:t xml:space="preserve">He alleged that, in winter 1998, the foreigner’s authority released him onto the street while ill and that he was compelled to sign a document concerning voluntary departure.</w:t>
      </w:r>
    </w:p>
    <w:p>
      <w:pPr>
        <w:pStyle w:val="Compact"/>
        <w:numPr>
          <w:ilvl w:val="0"/>
          <w:numId w:val="1010"/>
        </w:numPr>
      </w:pPr>
      <w:r>
        <w:t xml:space="preserve">He alleged that in 1999 he was beaten by police officers in the Gruenau immigration detention facility and subjected to humiliating treatment.</w:t>
      </w:r>
    </w:p>
    <w:p>
      <w:pPr>
        <w:pStyle w:val="Compact"/>
        <w:numPr>
          <w:ilvl w:val="0"/>
          <w:numId w:val="1010"/>
        </w:numPr>
      </w:pPr>
      <w:r>
        <w:t xml:space="preserve">He described detention-condition protests and a hunger-strike initiative involving numerous detainees.</w:t>
      </w:r>
    </w:p>
    <w:p>
      <w:pPr>
        <w:pStyle w:val="Compact"/>
        <w:numPr>
          <w:ilvl w:val="0"/>
          <w:numId w:val="1010"/>
        </w:numPr>
      </w:pPr>
      <w:r>
        <w:t xml:space="preserve">He asserted that from 2000 onwards he was denied medical certificates, social support, accommodation, food support and the ability to work, despite serious illness and his status.</w:t>
      </w:r>
    </w:p>
    <w:p>
      <w:pPr>
        <w:pStyle w:val="Compact"/>
        <w:numPr>
          <w:ilvl w:val="0"/>
          <w:numId w:val="1010"/>
        </w:numPr>
      </w:pPr>
      <w:r>
        <w:t xml:space="preserve">He alleged that the denial of assistance and the treatment he experienced led to chronic health consequences and psychiatric/psychological crisis.</w:t>
      </w:r>
    </w:p>
    <w:p>
      <w:pPr>
        <w:pStyle w:val="Compact"/>
        <w:numPr>
          <w:ilvl w:val="0"/>
          <w:numId w:val="1010"/>
        </w:numPr>
      </w:pPr>
      <w:r>
        <w:t xml:space="preserve">He referred to a 2002 incident involving a police vehicle and alleged unfair treatment within resulting proceedings.</w:t>
      </w:r>
    </w:p>
    <w:p>
      <w:pPr>
        <w:pStyle w:val="Compact"/>
        <w:numPr>
          <w:ilvl w:val="0"/>
          <w:numId w:val="1010"/>
        </w:numPr>
      </w:pPr>
      <w:r>
        <w:t xml:space="preserve">He described a 2003 heart attack and a January 2004 protest/hunger strike near the Reichstag, followed by treatment and discharge circumstances that he considered life-threatening.</w:t>
      </w:r>
    </w:p>
    <w:p>
      <w:pPr>
        <w:pStyle w:val="Compact"/>
        <w:numPr>
          <w:ilvl w:val="0"/>
          <w:numId w:val="1010"/>
        </w:numPr>
      </w:pPr>
      <w:r>
        <w:t xml:space="preserve">He alleged grave medical and psychiatric improprieties, later serious infection/illness, and severe unresolved housing and social-assistance problems.</w:t>
      </w:r>
    </w:p>
    <w:p>
      <w:pPr>
        <w:pStyle w:val="Compact"/>
        <w:numPr>
          <w:ilvl w:val="0"/>
          <w:numId w:val="1010"/>
        </w:numPr>
      </w:pPr>
      <w:r>
        <w:t xml:space="preserve">He requested international or neutral scrutiny because he considered domestic mechanisms ineffective.</w:t>
      </w:r>
    </w:p>
    <w:p>
      <w:pPr>
        <w:pStyle w:val="FirstParagraph"/>
      </w:pPr>
      <w:r>
        <w:t xml:space="preserve">The petition was therefore not confined to a request for furniture or a routine benefits dispute. Its stated subject matter was an alleged long pattern of Berlin authority actions and omissions affecting liberty, health, physical integrity, subsistence, housing, residence status and access to remedies.</w:t>
      </w:r>
    </w:p>
    <w:bookmarkEnd w:id="46"/>
    <w:bookmarkStart w:id="48" w:name="X4602e92e232608b0edac6d7d5ffe058f4bd6ac3"/>
    <w:p>
      <w:pPr>
        <w:pStyle w:val="Heading2"/>
      </w:pPr>
      <w:r>
        <w:t xml:space="preserve">5.2 Registration under file 9824/15: 14 September 2006</w:t>
      </w:r>
    </w:p>
    <w:p>
      <w:pPr>
        <w:pStyle w:val="FirstParagraph"/>
      </w:pPr>
      <w:r>
        <w:t xml:space="preserve">On 14 September 2006, the Berlin Petitions Committee acknowledged receipt of the applicant’s submission and registered it under</w:t>
      </w:r>
      <w:r>
        <w:t xml:space="preserve"> </w:t>
      </w:r>
      <w:r>
        <w:rPr>
          <w:b/>
          <w:bCs/>
        </w:rPr>
        <w:t xml:space="preserve">Geschäftszeichen 9824/15</w:t>
      </w:r>
      <w:r>
        <w:t xml:space="preserve">. The stated subject was initially</w:t>
      </w:r>
      <w:r>
        <w:t xml:space="preserve"> </w:t>
      </w:r>
      <w:r>
        <w:rPr>
          <w:b/>
          <w:bCs/>
        </w:rPr>
        <w:t xml:space="preserve">“</w:t>
      </w:r>
      <w:r>
        <w:rPr>
          <w:b/>
          <w:bCs/>
        </w:rPr>
        <w:t xml:space="preserve">Unterstuetzung bei sozialen Anliegen</w:t>
      </w:r>
      <w:r>
        <w:rPr>
          <w:b/>
          <w:bCs/>
        </w:rPr>
        <w:t xml:space="preserve">”</w:t>
      </w:r>
      <w:r>
        <w:t xml:space="preserve"> </w:t>
      </w:r>
      <w:r>
        <w:t xml:space="preserve">- support in social matters. The acknowledgment informed the applicant that necessary investigations could take time and that later submissions would not be separately acknowledged for administrative simplification. [D1, p. 12; D4]</w:t>
      </w:r>
    </w:p>
    <w:bookmarkStart w:id="47" w:name="analysis"/>
    <w:p>
      <w:pPr>
        <w:pStyle w:val="Heading3"/>
      </w:pPr>
      <w:r>
        <w:t xml:space="preserve">Analysis</w:t>
      </w:r>
    </w:p>
    <w:p>
      <w:pPr>
        <w:pStyle w:val="FirstParagraph"/>
      </w:pPr>
      <w:r>
        <w:t xml:space="preserve">Registration was procedurally appropriate and establishes formal access to the petition procedure. However, the selected headline description - support in social matters - appears substantially narrower than the grave allegations set out in the originating complaint. A headline is not necessarily the entirety of an internal examination; nevertheless, later correspondence must be examined to determine whether the serious non-social allegations were in fact addressed.</w:t>
      </w:r>
    </w:p>
    <w:bookmarkEnd w:id="47"/>
    <w:bookmarkEnd w:id="48"/>
    <w:bookmarkStart w:id="55" w:name="Xd3f5574c19bf7ca9994421ef5763b7cba99ea08"/>
    <w:p>
      <w:pPr>
        <w:pStyle w:val="Heading2"/>
      </w:pPr>
      <w:r>
        <w:t xml:space="preserve">5.3 Supplementary submissions under 9824/15: February-April 2007</w:t>
      </w:r>
    </w:p>
    <w:bookmarkStart w:id="49" w:name="february-2007-submission"/>
    <w:p>
      <w:pPr>
        <w:pStyle w:val="Heading3"/>
      </w:pPr>
      <w:r>
        <w:t xml:space="preserve">1 February 2007 submission</w:t>
      </w:r>
    </w:p>
    <w:p>
      <w:pPr>
        <w:pStyle w:val="FirstParagraph"/>
      </w:pPr>
      <w:r>
        <w:t xml:space="preserve">The applicant asked that additional documents be added to his principal documentary submission, including letters to his former lawyer and to the prosecutor and foreigners authority, a Sozialgericht filing, an objection concerning his pension application due to severe disability, and a psychiatric medical certificate dated 1 February 2007. [D1, p. 13; D4]</w:t>
      </w:r>
    </w:p>
    <w:bookmarkEnd w:id="49"/>
    <w:bookmarkStart w:id="50" w:name="february-2007-submission-1"/>
    <w:p>
      <w:pPr>
        <w:pStyle w:val="Heading3"/>
      </w:pPr>
      <w:r>
        <w:t xml:space="preserve">21 February 2007 submission</w:t>
      </w:r>
    </w:p>
    <w:p>
      <w:pPr>
        <w:pStyle w:val="FirstParagraph"/>
      </w:pPr>
      <w:r>
        <w:t xml:space="preserve">The applicant submitted his objection to the foreigners authority, an authority response, a reference to a Verwaltungsgericht action dated 30 January 2004, and correspondence of lawyer Harald Lilge in file</w:t>
      </w:r>
      <w:r>
        <w:t xml:space="preserve"> </w:t>
      </w:r>
      <w:r>
        <w:rPr>
          <w:b/>
          <w:bCs/>
        </w:rPr>
        <w:t xml:space="preserve">VG 32 A 77.04</w:t>
      </w:r>
      <w:r>
        <w:t xml:space="preserve">. [D1, p. 14; D4]</w:t>
      </w:r>
    </w:p>
    <w:bookmarkEnd w:id="50"/>
    <w:bookmarkStart w:id="51" w:name="Xfd652687a5ba12d00f3bf884a35e7b015c865b3"/>
    <w:p>
      <w:pPr>
        <w:pStyle w:val="Heading3"/>
      </w:pPr>
      <w:r>
        <w:t xml:space="preserve">Committee interim letter of 23 February 2007</w:t>
      </w:r>
    </w:p>
    <w:p>
      <w:pPr>
        <w:pStyle w:val="FirstParagraph"/>
      </w:pPr>
      <w:r>
        <w:t xml:space="preserve">The Committee informed the applicant that investigations were not yet complete. By that point it described the subject matter as:</w:t>
      </w:r>
    </w:p>
    <w:p>
      <w:pPr>
        <w:pStyle w:val="Compact"/>
        <w:numPr>
          <w:ilvl w:val="0"/>
          <w:numId w:val="1011"/>
        </w:numPr>
      </w:pPr>
      <w:r>
        <w:t xml:space="preserve">support in social matters; and</w:t>
      </w:r>
    </w:p>
    <w:p>
      <w:pPr>
        <w:pStyle w:val="Compact"/>
        <w:numPr>
          <w:ilvl w:val="0"/>
          <w:numId w:val="1011"/>
        </w:numPr>
      </w:pPr>
      <w:r>
        <w:t xml:space="preserve">granting a residence permit (</w:t>
      </w:r>
      <w:r>
        <w:rPr>
          <w:i/>
          <w:iCs/>
        </w:rPr>
        <w:t xml:space="preserve">Erteilung einer Aufenthaltserlaubnis</w:t>
      </w:r>
      <w:r>
        <w:t xml:space="preserve">). [D1, p. 15; D4]</w:t>
      </w:r>
    </w:p>
    <w:bookmarkEnd w:id="51"/>
    <w:bookmarkStart w:id="52" w:name="february-2007-submission-2"/>
    <w:p>
      <w:pPr>
        <w:pStyle w:val="Heading3"/>
      </w:pPr>
      <w:r>
        <w:t xml:space="preserve">27 February 2007 submission</w:t>
      </w:r>
    </w:p>
    <w:p>
      <w:pPr>
        <w:pStyle w:val="FirstParagraph"/>
      </w:pPr>
      <w:r>
        <w:t xml:space="preserve">The applicant provided documents and certificates stated to establish inability to work and degree of disability. He relied particularly on an assessment dated 2 May 2006 from the Medical Service of the employment administration, which he stated formed the basis for Jobcenter Mitte to determine inability to earn/work and to request that he apply for reduced earning capacity pension. He stated that LVA had refused the pension claim and annexed his objection dated 27 December 2006. [D1, p. 16; D4]</w:t>
      </w:r>
    </w:p>
    <w:bookmarkEnd w:id="52"/>
    <w:bookmarkStart w:id="53" w:name="X01878e74e8b88c1341e03008df2e17f5cc8bb9f"/>
    <w:p>
      <w:pPr>
        <w:pStyle w:val="Heading3"/>
      </w:pPr>
      <w:r>
        <w:t xml:space="preserve">20 April 2007 submission and Committee interim response</w:t>
      </w:r>
    </w:p>
    <w:p>
      <w:pPr>
        <w:pStyle w:val="FirstParagraph"/>
      </w:pPr>
      <w:r>
        <w:t xml:space="preserve">The applicant transmitted a copy of a filing to the Bundesverwaltungsgericht dated 15 April 2007 and his earlier 27 February 2007 material. The Committee’s interim correspondence now listed three subject categories:</w:t>
      </w:r>
    </w:p>
    <w:p>
      <w:pPr>
        <w:pStyle w:val="Compact"/>
        <w:numPr>
          <w:ilvl w:val="0"/>
          <w:numId w:val="1012"/>
        </w:numPr>
      </w:pPr>
      <w:r>
        <w:t xml:space="preserve">support in social matters;</w:t>
      </w:r>
    </w:p>
    <w:p>
      <w:pPr>
        <w:pStyle w:val="Compact"/>
        <w:numPr>
          <w:ilvl w:val="0"/>
          <w:numId w:val="1012"/>
        </w:numPr>
      </w:pPr>
      <w:r>
        <w:t xml:space="preserve">granting a residence permit; and</w:t>
      </w:r>
    </w:p>
    <w:p>
      <w:pPr>
        <w:pStyle w:val="Compact"/>
        <w:numPr>
          <w:ilvl w:val="0"/>
          <w:numId w:val="1012"/>
        </w:numPr>
      </w:pPr>
      <w:r>
        <w:t xml:space="preserve">granting a pension (</w:t>
      </w:r>
      <w:r>
        <w:rPr>
          <w:i/>
          <w:iCs/>
        </w:rPr>
        <w:t xml:space="preserve">Rentengewaehrung</w:t>
      </w:r>
      <w:r>
        <w:t xml:space="preserve">). [D1, pp. 17-18]</w:t>
      </w:r>
    </w:p>
    <w:bookmarkEnd w:id="53"/>
    <w:bookmarkStart w:id="54" w:name="analysis-1"/>
    <w:p>
      <w:pPr>
        <w:pStyle w:val="Heading3"/>
      </w:pPr>
      <w:r>
        <w:t xml:space="preserve">Analysis</w:t>
      </w:r>
    </w:p>
    <w:p>
      <w:pPr>
        <w:pStyle w:val="FirstParagraph"/>
      </w:pPr>
      <w:r>
        <w:t xml:space="preserve">The supplementary records show that the Committee was expressly informed of severe disability/inability to work, pension refusal, health-related evidence, residence matters and social protection concerns. The evolution of the stated subject categories demonstrates that the Committee recognised at least part of the broader scope of the petition. The record does not, however, yet show a corresponding expansion of investigation into the original allegations concerning detention, police treatment, deprivation of medical care and alleged psychiatric impropriety.</w:t>
      </w:r>
    </w:p>
    <w:bookmarkEnd w:id="54"/>
    <w:bookmarkEnd w:id="55"/>
    <w:bookmarkStart w:id="60" w:name="Xfdf1802c27067365fe840c1e1460ad327bc0c55"/>
    <w:p>
      <w:pPr>
        <w:pStyle w:val="Heading2"/>
      </w:pPr>
      <w:r>
        <w:t xml:space="preserve">5.4 Substantive Committee response under 9824/15: 24 May 2007</w:t>
      </w:r>
    </w:p>
    <w:p>
      <w:pPr>
        <w:pStyle w:val="FirstParagraph"/>
      </w:pPr>
      <w:r>
        <w:t xml:space="preserve">The Committee’s substantive response, identified in the applicant’s subsequent objection as dated</w:t>
      </w:r>
      <w:r>
        <w:t xml:space="preserve"> </w:t>
      </w:r>
      <w:r>
        <w:rPr>
          <w:b/>
          <w:bCs/>
        </w:rPr>
        <w:t xml:space="preserve">24 May 2007</w:t>
      </w:r>
      <w:r>
        <w:t xml:space="preserve">, stated that the Committee had considered the petition and taken note of the extensive material. It reported investigations with:</w:t>
      </w:r>
    </w:p>
    <w:p>
      <w:pPr>
        <w:pStyle w:val="Compact"/>
        <w:numPr>
          <w:ilvl w:val="0"/>
          <w:numId w:val="1013"/>
        </w:numPr>
      </w:pPr>
      <w:r>
        <w:t xml:space="preserve">Bezirksamt Neukoelln;</w:t>
      </w:r>
    </w:p>
    <w:p>
      <w:pPr>
        <w:pStyle w:val="Compact"/>
        <w:numPr>
          <w:ilvl w:val="0"/>
          <w:numId w:val="1013"/>
        </w:numPr>
      </w:pPr>
      <w:r>
        <w:t xml:space="preserve">Deutsche Rentenversicherung Berlin-Brandenburg; and</w:t>
      </w:r>
    </w:p>
    <w:p>
      <w:pPr>
        <w:pStyle w:val="Compact"/>
        <w:numPr>
          <w:ilvl w:val="0"/>
          <w:numId w:val="1013"/>
        </w:numPr>
      </w:pPr>
      <w:r>
        <w:t xml:space="preserve">Senatsverwaltung fuer Inneres und Sport. [D1, pp. 20-21; D4]</w:t>
      </w:r>
    </w:p>
    <w:bookmarkStart w:id="56" w:name="Xb63b8acd83b730cc850304cb3d379732f11f224"/>
    <w:p>
      <w:pPr>
        <w:pStyle w:val="Heading3"/>
      </w:pPr>
      <w:r>
        <w:t xml:space="preserve">5.4.1 Subsistence and one-off household assistance</w:t>
      </w:r>
    </w:p>
    <w:p>
      <w:pPr>
        <w:pStyle w:val="FirstParagraph"/>
      </w:pPr>
      <w:r>
        <w:t xml:space="preserve">The response conveyed the administrative position that the applicant received SGB II benefits from JobCenter Neukoelln from 1 January 2005 to 31 October 2005 and benefits from JobCenter Mitte from 1 November 2005, so his subsistence had been continuously secured. It referred to a Sozialgericht Berlin decision of 8 June 2006 concerning one-off assistance, and stated that assistance awarded under that decision had been granted. It further referred to a 7 November 2006 decision regarding a requested refrigerator and concluded there was no ground to secure further one-off benefits, asserting that under SGB II, as applicable from 1 January 2005, one-off needs were generally included in standard benefits. [D1, p. 20; D4]</w:t>
      </w:r>
    </w:p>
    <w:bookmarkEnd w:id="56"/>
    <w:bookmarkStart w:id="57" w:name="pension-issue-forwarded-to-the-bundestag"/>
    <w:p>
      <w:pPr>
        <w:pStyle w:val="Heading3"/>
      </w:pPr>
      <w:r>
        <w:t xml:space="preserve">5.4.2 Pension issue forwarded to the Bundestag</w:t>
      </w:r>
    </w:p>
    <w:p>
      <w:pPr>
        <w:pStyle w:val="FirstParagraph"/>
      </w:pPr>
      <w:r>
        <w:t xml:space="preserve">The Committee stated that Deutsche Rentenversicherung Berlin-Brandenburg had informed it that the account holder for the applicant’s pension account was Deutsche Rentenversicherung Bund. It therefore transmitted the pension complaint to the Petitions Committee of the German Bundestag on</w:t>
      </w:r>
      <w:r>
        <w:t xml:space="preserve"> </w:t>
      </w:r>
      <w:r>
        <w:rPr>
          <w:b/>
          <w:bCs/>
        </w:rPr>
        <w:t xml:space="preserve">3 April 2007</w:t>
      </w:r>
      <w:r>
        <w:t xml:space="preserve"> </w:t>
      </w:r>
      <w:r>
        <w:t xml:space="preserve">and advised the applicant to await further information from there. [D1, p. 20; D4]</w:t>
      </w:r>
    </w:p>
    <w:bookmarkEnd w:id="57"/>
    <w:bookmarkStart w:id="58" w:name="residence-and-police-allegations"/>
    <w:p>
      <w:pPr>
        <w:pStyle w:val="Heading3"/>
      </w:pPr>
      <w:r>
        <w:t xml:space="preserve">5.4.3 Residence and police allegations</w:t>
      </w:r>
    </w:p>
    <w:p>
      <w:pPr>
        <w:pStyle w:val="FirstParagraph"/>
      </w:pPr>
      <w:r>
        <w:t xml:space="preserve">The response addressed foreigner-law issues through information received from the Senate administration and indicated that the applicant possessed a residence permit for foreigners valid until 27 March 2009. Regarding allegations against officers of the Berlin Police Presidency, it stated that the Committee could only inform him that it was not possible to clarify incidents from 1998 or 1999. It concluded that nothing further could be done in his favour and ended processing of the submission. [D1, p. 21]</w:t>
      </w:r>
    </w:p>
    <w:bookmarkEnd w:id="58"/>
    <w:bookmarkStart w:id="59" w:name="analysis-2"/>
    <w:p>
      <w:pPr>
        <w:pStyle w:val="Heading3"/>
      </w:pPr>
      <w:r>
        <w:t xml:space="preserve">Analysis</w:t>
      </w:r>
    </w:p>
    <w:p>
      <w:pPr>
        <w:pStyle w:val="FirstParagraph"/>
      </w:pPr>
      <w:r>
        <w:t xml:space="preserve">The referral of the pension issue to federal competence appears procedurally consistent with the Committee’s competence boundary. By contrast, the treatment of the original allegations raises a significant issue: the response does not visibly explain what fact-finding steps, if any, were taken regarding allegations of detention-related abuse, denial of medical treatment, police violence or subsequent medical consequences. It states an inability to clarify 1998-1999 police events without documenting whether files, reports, witnesses or institutional records were sought, even though the Petitionsgesetz conferred extensive information-gathering powers concerning Berlin authorities.</w:t>
      </w:r>
    </w:p>
    <w:bookmarkEnd w:id="59"/>
    <w:bookmarkEnd w:id="60"/>
    <w:bookmarkStart w:id="62" w:name="Xdbdcfb6c0a2ea93eb1d9919be09cdd44a325a1c"/>
    <w:p>
      <w:pPr>
        <w:pStyle w:val="Heading2"/>
      </w:pPr>
      <w:r>
        <w:t xml:space="preserve">5.5 Applicant’s objection under 9824/15: 15 June 2007</w:t>
      </w:r>
    </w:p>
    <w:p>
      <w:pPr>
        <w:pStyle w:val="FirstParagraph"/>
      </w:pPr>
      <w:r>
        <w:t xml:space="preserve">The applicant filed a written objection against the Committee’s 24 May 2007 response. He maintained that independent psychologists, doctors and jurists needed to examine the matter and alleged that the Committee had not properly taken him into account. [D1, pp. 22-24; D4]</w:t>
      </w:r>
    </w:p>
    <w:p>
      <w:pPr>
        <w:pStyle w:val="BodyText"/>
      </w:pPr>
      <w:r>
        <w:t xml:space="preserve">The objection specifically disputed the classification of his benefit entitlement. He stated that Bezirksamt Neukoelln relied on</w:t>
      </w:r>
      <w:r>
        <w:t xml:space="preserve"> </w:t>
      </w:r>
      <w:r>
        <w:rPr>
          <w:b/>
          <w:bCs/>
        </w:rPr>
        <w:t xml:space="preserve">section 7 SGB II</w:t>
      </w:r>
      <w:r>
        <w:t xml:space="preserve"> </w:t>
      </w:r>
      <w:r>
        <w:t xml:space="preserve">and referred him to JobCenter Neukoelln, while, in his view, because he held a residence permit pursuant to</w:t>
      </w:r>
      <w:r>
        <w:t xml:space="preserve"> </w:t>
      </w:r>
      <w:r>
        <w:rPr>
          <w:b/>
          <w:bCs/>
        </w:rPr>
        <w:t xml:space="preserve">section 25(5) AufenthG</w:t>
      </w:r>
      <w:r>
        <w:t xml:space="preserve">, he should remain within the AsylbLG system through Sozialamt. He referred to multiple court file numbers and asserted that judgments and administrative measures failed to recognise the resulting medical and social situation. He also reiterated complaints about the 1999 detention treatment and ongoing severe illness. [D1, pp. 22-24; D4]</w:t>
      </w:r>
    </w:p>
    <w:bookmarkStart w:id="61" w:name="analysis-3"/>
    <w:p>
      <w:pPr>
        <w:pStyle w:val="Heading3"/>
      </w:pPr>
      <w:r>
        <w:t xml:space="preserve">Analysis</w:t>
      </w:r>
    </w:p>
    <w:p>
      <w:pPr>
        <w:pStyle w:val="FirstParagraph"/>
      </w:pPr>
      <w:r>
        <w:t xml:space="preserve">This objection was not a mere general repetition: it advanced a concrete legal dispute about the benefits system applicable to his residence status, cited specific proceedings and demanded examination of unresolved serious allegations. Significantly, later Committee correspondence under 1222/16 appears to acknowledge that a Jobcenter had indeed wrongly assumed an SGB II entitlement for a person holding a residence permit under section 25(5) AufenthG. This supports the conclusion that at least one substantive issue raised by the applicant required careful review rather than being treated as purely unsubstantiated repetition.</w:t>
      </w:r>
    </w:p>
    <w:bookmarkEnd w:id="61"/>
    <w:bookmarkEnd w:id="62"/>
    <w:bookmarkStart w:id="64" w:name="opening-of-file-122216-20-june-2007"/>
    <w:p>
      <w:pPr>
        <w:pStyle w:val="Heading2"/>
      </w:pPr>
      <w:r>
        <w:t xml:space="preserve">5.6 Opening of file 1222/16: 20 June 2007</w:t>
      </w:r>
    </w:p>
    <w:p>
      <w:pPr>
        <w:pStyle w:val="FirstParagraph"/>
      </w:pPr>
      <w:r>
        <w:t xml:space="preserve">On 20 June 2007, the Petitions Committee acknowledged a further submission dated 15 June 2007 and registered it under</w:t>
      </w:r>
      <w:r>
        <w:t xml:space="preserve"> </w:t>
      </w:r>
      <w:r>
        <w:rPr>
          <w:b/>
          <w:bCs/>
        </w:rPr>
        <w:t xml:space="preserve">Geschäftszeichen 1222/16</w:t>
      </w:r>
      <w:r>
        <w:t xml:space="preserve">. The listed subjects were:</w:t>
      </w:r>
    </w:p>
    <w:p>
      <w:pPr>
        <w:pStyle w:val="Compact"/>
        <w:numPr>
          <w:ilvl w:val="0"/>
          <w:numId w:val="1014"/>
        </w:numPr>
      </w:pPr>
      <w:r>
        <w:t xml:space="preserve">support in social matters;</w:t>
      </w:r>
    </w:p>
    <w:p>
      <w:pPr>
        <w:pStyle w:val="Compact"/>
        <w:numPr>
          <w:ilvl w:val="0"/>
          <w:numId w:val="1014"/>
        </w:numPr>
      </w:pPr>
      <w:r>
        <w:t xml:space="preserve">granting a residence permit; and</w:t>
      </w:r>
    </w:p>
    <w:p>
      <w:pPr>
        <w:pStyle w:val="Compact"/>
        <w:numPr>
          <w:ilvl w:val="0"/>
          <w:numId w:val="1014"/>
        </w:numPr>
      </w:pPr>
      <w:r>
        <w:t xml:space="preserve">granting a pension. [D1, p. 25; D4]</w:t>
      </w:r>
    </w:p>
    <w:bookmarkStart w:id="63" w:name="analysis-4"/>
    <w:p>
      <w:pPr>
        <w:pStyle w:val="Heading3"/>
      </w:pPr>
      <w:r>
        <w:t xml:space="preserve">Analysis</w:t>
      </w:r>
    </w:p>
    <w:p>
      <w:pPr>
        <w:pStyle w:val="FirstParagraph"/>
      </w:pPr>
      <w:r>
        <w:t xml:space="preserve">The establishment of a new file reference indicates that the Committee did not simply regard the June 2007 objection as closed within 9824/15 at that time; it opened or continued consideration as a distinct matter in the 16th legislative period. This is relevant to the later reliance on the rule against repetitive petitions within the same legislative period.</w:t>
      </w:r>
    </w:p>
    <w:bookmarkEnd w:id="63"/>
    <w:bookmarkEnd w:id="64"/>
    <w:bookmarkStart w:id="67" w:name="X27e9efe07e7c9fa5f08a155fa67512a193ffd70"/>
    <w:p>
      <w:pPr>
        <w:pStyle w:val="Heading2"/>
      </w:pPr>
      <w:r>
        <w:t xml:space="preserve">5.7 Further submissions under 1222/16: July-August 2007</w:t>
      </w:r>
    </w:p>
    <w:bookmarkStart w:id="65" w:name="july-2007"/>
    <w:p>
      <w:pPr>
        <w:pStyle w:val="Heading3"/>
      </w:pPr>
      <w:r>
        <w:t xml:space="preserve">11 July 2007</w:t>
      </w:r>
    </w:p>
    <w:p>
      <w:pPr>
        <w:pStyle w:val="FirstParagraph"/>
      </w:pPr>
      <w:r>
        <w:t xml:space="preserve">The applicant submitted copies of a complaint to the Federal Constitutional Court dated 25 June 2007, a filing to the Verwaltungsgericht Berlin dated 10 July 2007, a request concerning Betreuung before Amtsgericht Tiergarten, and correspondence to Sozialgericht Berlin dated 27 June 2007. [D1, pp. 26-27; D4]</w:t>
      </w:r>
    </w:p>
    <w:bookmarkEnd w:id="65"/>
    <w:bookmarkStart w:id="66" w:name="august-2007"/>
    <w:p>
      <w:pPr>
        <w:pStyle w:val="Heading3"/>
      </w:pPr>
      <w:r>
        <w:t xml:space="preserve">22 August 2007</w:t>
      </w:r>
    </w:p>
    <w:p>
      <w:pPr>
        <w:pStyle w:val="FirstParagraph"/>
      </w:pPr>
      <w:r>
        <w:t xml:space="preserve">The applicant stated that additional materials had been delivered on 11 July 2007 and that he had filed actions with Sozialgericht and Amtsgericht Tiergarten in August 2007. He also forwarded an objection to the Federal Constitutional Court and further Sozialgericht correspondence, requesting restoration of his rights since 1998. [D1, p. 28; D4]</w:t>
      </w:r>
    </w:p>
    <w:bookmarkEnd w:id="66"/>
    <w:bookmarkEnd w:id="67"/>
    <w:bookmarkStart w:id="73" w:name="X8f865a9293349c584f2b4e460a3ac26a041d3c1"/>
    <w:p>
      <w:pPr>
        <w:pStyle w:val="Heading2"/>
      </w:pPr>
      <w:r>
        <w:t xml:space="preserve">5.8 Committee response in September 2007 under 1222/16</w:t>
      </w:r>
    </w:p>
    <w:p>
      <w:pPr>
        <w:pStyle w:val="FirstParagraph"/>
      </w:pPr>
      <w:r>
        <w:t xml:space="preserve">A Berlin Committee response visible in the supplied bundle, and referred to by the later November letter as its</w:t>
      </w:r>
      <w:r>
        <w:t xml:space="preserve"> </w:t>
      </w:r>
      <w:r>
        <w:rPr>
          <w:b/>
          <w:bCs/>
        </w:rPr>
        <w:t xml:space="preserve">6 September 2007</w:t>
      </w:r>
      <w:r>
        <w:t xml:space="preserve"> </w:t>
      </w:r>
      <w:r>
        <w:t xml:space="preserve">letter, records the following positions. [D1, pp. 29-30]</w:t>
      </w:r>
    </w:p>
    <w:bookmarkStart w:id="68" w:name="refrigeratorfurniture-issue"/>
    <w:p>
      <w:pPr>
        <w:pStyle w:val="Heading3"/>
      </w:pPr>
      <w:r>
        <w:t xml:space="preserve">5.8.1 Refrigerator/furniture issue</w:t>
      </w:r>
    </w:p>
    <w:p>
      <w:pPr>
        <w:pStyle w:val="FirstParagraph"/>
      </w:pPr>
      <w:r>
        <w:t xml:space="preserve">The Committee stated that, in a pending Sozialgericht matter, Bezirksamt Neukoelln had remedied an objection concerning a 7 November 2006 decision and had awarded</w:t>
      </w:r>
      <w:r>
        <w:t xml:space="preserve"> </w:t>
      </w:r>
      <w:r>
        <w:rPr>
          <w:b/>
          <w:bCs/>
        </w:rPr>
        <w:t xml:space="preserve">EUR 200.00 for a refrigerator</w:t>
      </w:r>
      <w:r>
        <w:t xml:space="preserve"> </w:t>
      </w:r>
      <w:r>
        <w:t xml:space="preserve">by decision of 12 July 2007. It stated that it could not achieve further household assistance and referred to an earlier social-court decision.</w:t>
      </w:r>
    </w:p>
    <w:bookmarkEnd w:id="68"/>
    <w:bookmarkStart w:id="69" w:name="court-proceedings"/>
    <w:p>
      <w:pPr>
        <w:pStyle w:val="Heading3"/>
      </w:pPr>
      <w:r>
        <w:t xml:space="preserve">5.8.2 Court proceedings</w:t>
      </w:r>
    </w:p>
    <w:p>
      <w:pPr>
        <w:pStyle w:val="FirstParagraph"/>
      </w:pPr>
      <w:r>
        <w:t xml:space="preserve">The Committee stated that it could not support the applicant in pending court proceedings because courts are independent and their decisions may be reviewed or altered only through the legal remedies provided by law.</w:t>
      </w:r>
    </w:p>
    <w:bookmarkEnd w:id="69"/>
    <w:bookmarkStart w:id="70" w:name="X1296224897a4cef97c05305e8b516a451b7652c"/>
    <w:p>
      <w:pPr>
        <w:pStyle w:val="Heading3"/>
      </w:pPr>
      <w:r>
        <w:t xml:space="preserve">5.8.3 Benefit classification linked to residence permit</w:t>
      </w:r>
    </w:p>
    <w:p>
      <w:pPr>
        <w:pStyle w:val="FirstParagraph"/>
      </w:pPr>
      <w:r>
        <w:t xml:space="preserve">The letter records that the applicant possessed a humanitarian residence permit under</w:t>
      </w:r>
      <w:r>
        <w:t xml:space="preserve"> </w:t>
      </w:r>
      <w:r>
        <w:rPr>
          <w:b/>
          <w:bCs/>
        </w:rPr>
        <w:t xml:space="preserve">section 25(5) AufenthG</w:t>
      </w:r>
      <w:r>
        <w:t xml:space="preserve">. It states that JobCenter Mitte had initially proceeded on the mistaken assumption that the applicant was entitled to benefits under SGB II; it further states that persons holding such a residence permit instead have a claim under the</w:t>
      </w:r>
      <w:r>
        <w:t xml:space="preserve"> </w:t>
      </w:r>
      <w:r>
        <w:rPr>
          <w:b/>
          <w:bCs/>
        </w:rPr>
        <w:t xml:space="preserve">Asylbewerberleistungsgesetz</w:t>
      </w:r>
      <w:r>
        <w:t xml:space="preserve"> </w:t>
      </w:r>
      <w:r>
        <w:t xml:space="preserve">and that the benefit position was corrected in 2007.</w:t>
      </w:r>
    </w:p>
    <w:bookmarkEnd w:id="70"/>
    <w:bookmarkStart w:id="71" w:name="health-provision-and-closure"/>
    <w:p>
      <w:pPr>
        <w:pStyle w:val="Heading3"/>
      </w:pPr>
      <w:r>
        <w:t xml:space="preserve">5.8.4 Health provision and closure</w:t>
      </w:r>
    </w:p>
    <w:p>
      <w:pPr>
        <w:pStyle w:val="FirstParagraph"/>
      </w:pPr>
      <w:r>
        <w:t xml:space="preserve">The Committee asserted that it could not understand a contention that medical care was not ensured because entitlements under AsylbLG provided basic medical care. It then stated that no further action in the applicant’s favour was possible and concluded its processing of the submission.</w:t>
      </w:r>
    </w:p>
    <w:bookmarkEnd w:id="71"/>
    <w:bookmarkStart w:id="72" w:name="analysis-5"/>
    <w:p>
      <w:pPr>
        <w:pStyle w:val="Heading3"/>
      </w:pPr>
      <w:r>
        <w:t xml:space="preserve">Analysis</w:t>
      </w:r>
    </w:p>
    <w:p>
      <w:pPr>
        <w:pStyle w:val="FirstParagraph"/>
      </w:pPr>
      <w:r>
        <w:t xml:space="preserve">This response is important for two reasons. First, it records at least a partial favourable outcome: EUR 200 for a refrigerator and recognition that an earlier benefit-system assumption was erroneous. Secondly, its reasoning on medical care appears formal rather than fact-specific. The applicant had complained not merely of absence of a formal statutory entitlement, but of actual deprivation of medicines, treatment and care in the context of serious illness. A conclusion that basic medical coverage exists does not, without further examination, answer whether needed treatment had in practice been denied or inaccessible.</w:t>
      </w:r>
    </w:p>
    <w:bookmarkEnd w:id="72"/>
    <w:bookmarkEnd w:id="73"/>
    <w:bookmarkStart w:id="74" w:name="X2dae025317124629ffcf71c5f2fcfb929e2c6ff"/>
    <w:p>
      <w:pPr>
        <w:pStyle w:val="Heading2"/>
      </w:pPr>
      <w:r>
        <w:t xml:space="preserve">5.9 Applicant’s hospital-written objection: 24 September 2007</w:t>
      </w:r>
    </w:p>
    <w:p>
      <w:pPr>
        <w:pStyle w:val="FirstParagraph"/>
      </w:pPr>
      <w:r>
        <w:t xml:space="preserve">On 24 September 2007, the applicant submitted a written objection under 1222/16. He expressly stated that he was writing the letter from hospital. He asserted that the Committee had failed to investigate his assertion of inhuman treatment and life-threatening circumstances and had merely asked the opposing authorities. He raised continued medical, housing, residence and discrimination concerns and requested effective clarification. [D1, pp. 31-33; D4]</w:t>
      </w:r>
    </w:p>
    <w:p>
      <w:pPr>
        <w:pStyle w:val="BodyText"/>
      </w:pPr>
      <w:r>
        <w:t xml:space="preserve">This document is relevant because it put the Committee on notice that the applicant claimed current hospitalisation and urgent ongoing harm, rather than only historical disagreement.</w:t>
      </w:r>
    </w:p>
    <w:bookmarkEnd w:id="74"/>
    <w:bookmarkStart w:id="78" w:name="reconsideration-october-november-2007"/>
    <w:p>
      <w:pPr>
        <w:pStyle w:val="Heading2"/>
      </w:pPr>
      <w:r>
        <w:t xml:space="preserve">5.10 Reconsideration: October-November 2007</w:t>
      </w:r>
    </w:p>
    <w:bookmarkStart w:id="75" w:name="acknowledgment-of-8-october-2007"/>
    <w:p>
      <w:pPr>
        <w:pStyle w:val="Heading3"/>
      </w:pPr>
      <w:r>
        <w:t xml:space="preserve">Acknowledgment of 8 October 2007</w:t>
      </w:r>
    </w:p>
    <w:p>
      <w:pPr>
        <w:pStyle w:val="FirstParagraph"/>
      </w:pPr>
      <w:r>
        <w:t xml:space="preserve">The Committee acknowledged the 24 September 2007 supplementary submission under 1222/16 and described the issues as:</w:t>
      </w:r>
    </w:p>
    <w:p>
      <w:pPr>
        <w:pStyle w:val="Compact"/>
        <w:numPr>
          <w:ilvl w:val="0"/>
          <w:numId w:val="1015"/>
        </w:numPr>
      </w:pPr>
      <w:r>
        <w:t xml:space="preserve">further assistance for furniture and carpet under AsylbLG; and</w:t>
      </w:r>
    </w:p>
    <w:p>
      <w:pPr>
        <w:pStyle w:val="Compact"/>
        <w:numPr>
          <w:ilvl w:val="0"/>
          <w:numId w:val="1015"/>
        </w:numPr>
      </w:pPr>
      <w:r>
        <w:t xml:space="preserve">health insurance. [D1, p. 45; D5]</w:t>
      </w:r>
    </w:p>
    <w:bookmarkEnd w:id="75"/>
    <w:bookmarkStart w:id="76" w:name="november-2007-reconsideration-response"/>
    <w:p>
      <w:pPr>
        <w:pStyle w:val="Heading3"/>
      </w:pPr>
      <w:r>
        <w:t xml:space="preserve">November 2007 reconsideration response</w:t>
      </w:r>
    </w:p>
    <w:p>
      <w:pPr>
        <w:pStyle w:val="FirstParagraph"/>
      </w:pPr>
      <w:r>
        <w:t xml:space="preserve">Following reconsideration, the Committee stated that it had again contacted Bezirksamt Reinickendorf regarding the allegation that medicines and therapies had been denied. It reported the authority’s position that the applicant had been receiving continuing AsylbLG benefits since 1 February 2007; while he was not insured in statutory health insurance as a member, the social-assistance provider had registered him with</w:t>
      </w:r>
      <w:r>
        <w:t xml:space="preserve"> </w:t>
      </w:r>
      <w:r>
        <w:rPr>
          <w:b/>
          <w:bCs/>
        </w:rPr>
        <w:t xml:space="preserve">AOK Berlin pursuant to section 264 SGB V</w:t>
      </w:r>
      <w:r>
        <w:t xml:space="preserve">, enabling him to obtain the range of health services available within the statutory health-insurance framework, with expenditure reimbursed by the social-assistance provider. It advised him to seek medical treatment when required. [D6]</w:t>
      </w:r>
    </w:p>
    <w:p>
      <w:pPr>
        <w:pStyle w:val="BodyText"/>
      </w:pPr>
      <w:r>
        <w:t xml:space="preserve">As to additional furniture and carpet assistance, the Committee stated that standard rates covered ordinary household and longer-lasting consumer goods, that one-off grants after 1 January 2005 were limited to special exceptions such as initial furnishing, and that replacement furniture, carpet and household goods could not be funded by further one-off grants. It stated that, where saving from standard benefits was impossible, the social-assistance provider could grant a loan on application, repayable at five per cent of the standard rate monthly; it further stated that Bezirksamt Reinickendorf had reported no such furniture/carpet application by the applicant and suggested he consider making a loan application. [D6]</w:t>
      </w:r>
    </w:p>
    <w:p>
      <w:pPr>
        <w:pStyle w:val="BodyText"/>
      </w:pPr>
      <w:r>
        <w:t xml:space="preserve">The Committee reiterated that it could not influence litigation against Bezirksamt Neukoelln and clarified its earlier comments about movement outside Berlin: it stated that it had said he could leave Berlin for visits, but that moving to another federal Land was excluded. It again stated that events from the past could no longer be clarified or undone. [D6]</w:t>
      </w:r>
    </w:p>
    <w:bookmarkEnd w:id="76"/>
    <w:bookmarkStart w:id="77" w:name="analysis-6"/>
    <w:p>
      <w:pPr>
        <w:pStyle w:val="Heading3"/>
      </w:pPr>
      <w:r>
        <w:t xml:space="preserve">Analysis</w:t>
      </w:r>
    </w:p>
    <w:p>
      <w:pPr>
        <w:pStyle w:val="FirstParagraph"/>
      </w:pPr>
      <w:r>
        <w:t xml:space="preserve">The November reconsideration evidences that the Committee did contact a Berlin authority again and provided the applicant with a stated route to medical access and a loan mechanism for household goods. This is relevant evidence of some procedural engagement.</w:t>
      </w:r>
    </w:p>
    <w:p>
      <w:pPr>
        <w:pStyle w:val="BodyText"/>
      </w:pPr>
      <w:r>
        <w:t xml:space="preserve">At the same time, the reasoning remains vulnerable to challenge. The central medical question was whether treatment, medication and therapy had actually been made available in practice and whether prior denials had caused harm. The response identifies a financing/administrative channel but does not visibly examine treatment records, refusal incidents, urgent needs or medical consequences. Similarly, in relation to living conditions, a generic loan explanation may not sufficiently engage with asserted severe illness, lack of essential equipment and the photographic evidence of the living environment.</w:t>
      </w:r>
    </w:p>
    <w:bookmarkEnd w:id="77"/>
    <w:bookmarkEnd w:id="78"/>
    <w:bookmarkStart w:id="82" w:name="X1a3d978ed3e53e50ee33252abee60f9a477887a"/>
    <w:p>
      <w:pPr>
        <w:pStyle w:val="Heading2"/>
      </w:pPr>
      <w:r>
        <w:t xml:space="preserve">5.11 Final complaint of 1 December 2007 and closure response</w:t>
      </w:r>
    </w:p>
    <w:bookmarkStart w:id="79" w:name="applicants-1-december-2007-submission"/>
    <w:p>
      <w:pPr>
        <w:pStyle w:val="Heading3"/>
      </w:pPr>
      <w:r>
        <w:t xml:space="preserve">Applicant’s 1 December 2007 submission</w:t>
      </w:r>
    </w:p>
    <w:p>
      <w:pPr>
        <w:pStyle w:val="FirstParagraph"/>
      </w:pPr>
      <w:r>
        <w:t xml:space="preserve">The applicant’s</w:t>
      </w:r>
      <w:r>
        <w:t xml:space="preserve"> </w:t>
      </w:r>
      <w:r>
        <w:rPr>
          <w:b/>
          <w:bCs/>
        </w:rPr>
        <w:t xml:space="preserve">“</w:t>
      </w:r>
      <w:r>
        <w:rPr>
          <w:b/>
          <w:bCs/>
        </w:rPr>
        <w:t xml:space="preserve">Letzte Beschwerde</w:t>
      </w:r>
      <w:r>
        <w:rPr>
          <w:b/>
          <w:bCs/>
        </w:rPr>
        <w:t xml:space="preserve">”</w:t>
      </w:r>
      <w:r>
        <w:t xml:space="preserve"> </w:t>
      </w:r>
      <w:r>
        <w:t xml:space="preserve">expressly identified both</w:t>
      </w:r>
      <w:r>
        <w:t xml:space="preserve"> </w:t>
      </w:r>
      <w:r>
        <w:rPr>
          <w:b/>
          <w:bCs/>
        </w:rPr>
        <w:t xml:space="preserve">9824/15</w:t>
      </w:r>
      <w:r>
        <w:t xml:space="preserve"> </w:t>
      </w:r>
      <w:r>
        <w:t xml:space="preserve">and</w:t>
      </w:r>
      <w:r>
        <w:t xml:space="preserve"> </w:t>
      </w:r>
      <w:r>
        <w:rPr>
          <w:b/>
          <w:bCs/>
        </w:rPr>
        <w:t xml:space="preserve">1222/16</w:t>
      </w:r>
      <w:r>
        <w:t xml:space="preserve">. It raised, among other matters:</w:t>
      </w:r>
    </w:p>
    <w:p>
      <w:pPr>
        <w:pStyle w:val="Compact"/>
        <w:numPr>
          <w:ilvl w:val="0"/>
          <w:numId w:val="1016"/>
        </w:numPr>
      </w:pPr>
      <w:r>
        <w:t xml:space="preserve">an asserted residence restriction limiting him to Berlin from 1998 until</w:t>
      </w:r>
      <w:r>
        <w:t xml:space="preserve"> </w:t>
      </w:r>
      <w:r>
        <w:rPr>
          <w:b/>
          <w:bCs/>
        </w:rPr>
        <w:t xml:space="preserve">11 October 2007</w:t>
      </w:r>
      <w:r>
        <w:t xml:space="preserve">, which he stated had only then been lifted by judicial decision;</w:t>
      </w:r>
    </w:p>
    <w:p>
      <w:pPr>
        <w:pStyle w:val="Compact"/>
        <w:numPr>
          <w:ilvl w:val="0"/>
          <w:numId w:val="1016"/>
        </w:numPr>
      </w:pPr>
      <w:r>
        <w:t xml:space="preserve">an asserted failure to forward his applications to the competent benefit authority, relying expressly on</w:t>
      </w:r>
      <w:r>
        <w:t xml:space="preserve"> </w:t>
      </w:r>
      <w:r>
        <w:rPr>
          <w:b/>
          <w:bCs/>
        </w:rPr>
        <w:t xml:space="preserve">section 16(2) SGB I</w:t>
      </w:r>
      <w:r>
        <w:t xml:space="preserve">;</w:t>
      </w:r>
    </w:p>
    <w:p>
      <w:pPr>
        <w:pStyle w:val="Compact"/>
        <w:numPr>
          <w:ilvl w:val="0"/>
          <w:numId w:val="1016"/>
        </w:numPr>
      </w:pPr>
      <w:r>
        <w:t xml:space="preserve">continuing disputes about benefit responsibility and the movement of his case between offices;</w:t>
      </w:r>
    </w:p>
    <w:p>
      <w:pPr>
        <w:pStyle w:val="Compact"/>
        <w:numPr>
          <w:ilvl w:val="0"/>
          <w:numId w:val="1016"/>
        </w:numPr>
      </w:pPr>
      <w:r>
        <w:t xml:space="preserve">continuing medical and housing consequences;</w:t>
      </w:r>
    </w:p>
    <w:p>
      <w:pPr>
        <w:pStyle w:val="Compact"/>
        <w:numPr>
          <w:ilvl w:val="0"/>
          <w:numId w:val="1016"/>
        </w:numPr>
      </w:pPr>
      <w:r>
        <w:t xml:space="preserve">the need for independent examination of his health and the alleged treatment of him by authorities. [D7]</w:t>
      </w:r>
    </w:p>
    <w:p>
      <w:pPr>
        <w:pStyle w:val="FirstParagraph"/>
      </w:pPr>
      <w:r>
        <w:t xml:space="preserve">The documents indicate that a DVD was also submitted in connection with the renewed complaint. [D8]</w:t>
      </w:r>
    </w:p>
    <w:bookmarkEnd w:id="79"/>
    <w:bookmarkStart w:id="80" w:name="Xa6e30067c915b3a3b7827e6f159b134098ed4e1"/>
    <w:p>
      <w:pPr>
        <w:pStyle w:val="Heading3"/>
      </w:pPr>
      <w:r>
        <w:t xml:space="preserve">Committee closure decision in December 2007</w:t>
      </w:r>
    </w:p>
    <w:p>
      <w:pPr>
        <w:pStyle w:val="FirstParagraph"/>
      </w:pPr>
      <w:r>
        <w:t xml:space="preserve">In its subsequent response, the Committee stated that it had considered the matter once again on the basis of the applicant’s 1 December 2007 letter. It invoked</w:t>
      </w:r>
      <w:r>
        <w:t xml:space="preserve"> </w:t>
      </w:r>
      <w:r>
        <w:rPr>
          <w:b/>
          <w:bCs/>
        </w:rPr>
        <w:t xml:space="preserve">section 2(3), sentence 2, of the Act on the Treatment of Petitions to the Berlin House of Representatives</w:t>
      </w:r>
      <w:r>
        <w:t xml:space="preserve">, stating that a petition may not merely repeat the content of an earlier petition by the same petitioner in the same legislative period without materially new submissions. It referred the applicant to earlier explanations, declared the submission disposed of again, asked him to refrain from sending equivalent submissions because no further response could be promised, and returned the DVD. [D8]</w:t>
      </w:r>
    </w:p>
    <w:bookmarkEnd w:id="80"/>
    <w:bookmarkStart w:id="81" w:name="analysis-7"/>
    <w:p>
      <w:pPr>
        <w:pStyle w:val="Heading3"/>
      </w:pPr>
      <w:r>
        <w:t xml:space="preserve">Analysis</w:t>
      </w:r>
    </w:p>
    <w:p>
      <w:pPr>
        <w:pStyle w:val="FirstParagraph"/>
      </w:pPr>
      <w:r>
        <w:t xml:space="preserve">The repeated-petition rule plainly exists as a legitimate procedural mechanism. A petition committee is not required to reopen identical matters indefinitely. The legal question, however, is whether the applicant’s December submission contained</w:t>
      </w:r>
      <w:r>
        <w:t xml:space="preserve"> </w:t>
      </w:r>
      <w:r>
        <w:rPr>
          <w:b/>
          <w:bCs/>
        </w:rPr>
        <w:t xml:space="preserve">materially new submissions</w:t>
      </w:r>
      <w:r>
        <w:t xml:space="preserve"> </w:t>
      </w:r>
      <w:r>
        <w:t xml:space="preserve">that required reasoned consideration before the rule could lawfully be applied.</w:t>
      </w:r>
    </w:p>
    <w:p>
      <w:pPr>
        <w:pStyle w:val="BodyText"/>
      </w:pPr>
      <w:r>
        <w:t xml:space="preserve">On the face of the record, the December submission raised or documented at least potentially new matters:</w:t>
      </w:r>
    </w:p>
    <w:p>
      <w:pPr>
        <w:pStyle w:val="Compact"/>
        <w:numPr>
          <w:ilvl w:val="0"/>
          <w:numId w:val="1017"/>
        </w:numPr>
      </w:pPr>
      <w:r>
        <w:t xml:space="preserve">a specific asserted judicial lifting of the territorial residence restriction effective 11 October 2007;</w:t>
      </w:r>
    </w:p>
    <w:p>
      <w:pPr>
        <w:pStyle w:val="Compact"/>
        <w:numPr>
          <w:ilvl w:val="0"/>
          <w:numId w:val="1017"/>
        </w:numPr>
      </w:pPr>
      <w:r>
        <w:t xml:space="preserve">a distinct legal reliance on section 16(2) SGB I concerning non-forwarding of applications;</w:t>
      </w:r>
    </w:p>
    <w:p>
      <w:pPr>
        <w:pStyle w:val="Compact"/>
        <w:numPr>
          <w:ilvl w:val="0"/>
          <w:numId w:val="1017"/>
        </w:numPr>
      </w:pPr>
      <w:r>
        <w:t xml:space="preserve">continued health and housing consequences following the Committee’s earlier responses;</w:t>
      </w:r>
    </w:p>
    <w:p>
      <w:pPr>
        <w:pStyle w:val="Compact"/>
        <w:numPr>
          <w:ilvl w:val="0"/>
          <w:numId w:val="1017"/>
        </w:numPr>
      </w:pPr>
      <w:r>
        <w:t xml:space="preserve">a DVD submitted as additional evidence.</w:t>
      </w:r>
    </w:p>
    <w:p>
      <w:pPr>
        <w:pStyle w:val="FirstParagraph"/>
      </w:pPr>
      <w:r>
        <w:t xml:space="preserve">The closure letter does not visibly assess those items individually or explain why they were not material. It merely states that the Committee had nothing further to add. That absence of visible reasoning constitutes a serious procedural concern under the repeated-petition standard invoked by the Committee itself.</w:t>
      </w:r>
    </w:p>
    <w:bookmarkEnd w:id="81"/>
    <w:bookmarkEnd w:id="82"/>
    <w:bookmarkEnd w:id="83"/>
    <w:bookmarkStart w:id="84" w:name="Xa241abeed2322512a3f7c196565d0fde9272e65"/>
    <w:p>
      <w:pPr>
        <w:pStyle w:val="Heading1"/>
      </w:pPr>
      <w:r>
        <w:t xml:space="preserve">6. Photographic Evidence of Living Conditions</w:t>
      </w:r>
    </w:p>
    <w:p>
      <w:pPr>
        <w:pStyle w:val="FirstParagraph"/>
      </w:pPr>
      <w:r>
        <w:t xml:space="preserve">The second supplied bundle,</w:t>
      </w:r>
      <w:r>
        <w:t xml:space="preserve"> </w:t>
      </w:r>
      <w:r>
        <w:rPr>
          <w:b/>
          <w:bCs/>
        </w:rPr>
        <w:t xml:space="preserve">Haz 2, Belge 36.pdf</w:t>
      </w:r>
      <w:r>
        <w:t xml:space="preserve">, contains 51 scanned photographs. The photographs depict, among other matters:</w:t>
      </w:r>
    </w:p>
    <w:p>
      <w:pPr>
        <w:pStyle w:val="Compact"/>
        <w:numPr>
          <w:ilvl w:val="0"/>
          <w:numId w:val="1018"/>
        </w:numPr>
      </w:pPr>
      <w:r>
        <w:t xml:space="preserve">a very limited room used as living and sleeping space;</w:t>
      </w:r>
    </w:p>
    <w:p>
      <w:pPr>
        <w:pStyle w:val="Compact"/>
        <w:numPr>
          <w:ilvl w:val="0"/>
          <w:numId w:val="1018"/>
        </w:numPr>
      </w:pPr>
      <w:r>
        <w:t xml:space="preserve">a thin floor mattress and bedding in a crowded room;</w:t>
      </w:r>
    </w:p>
    <w:p>
      <w:pPr>
        <w:pStyle w:val="Compact"/>
        <w:numPr>
          <w:ilvl w:val="0"/>
          <w:numId w:val="1018"/>
        </w:numPr>
      </w:pPr>
      <w:r>
        <w:t xml:space="preserve">clothing, bags, papers and personal effects stored on floors and around sleeping areas;</w:t>
      </w:r>
    </w:p>
    <w:p>
      <w:pPr>
        <w:pStyle w:val="Compact"/>
        <w:numPr>
          <w:ilvl w:val="0"/>
          <w:numId w:val="1018"/>
        </w:numPr>
      </w:pPr>
      <w:r>
        <w:t xml:space="preserve">apparent lack of orderly storage and furniture;</w:t>
      </w:r>
    </w:p>
    <w:p>
      <w:pPr>
        <w:pStyle w:val="Compact"/>
        <w:numPr>
          <w:ilvl w:val="0"/>
          <w:numId w:val="1018"/>
        </w:numPr>
      </w:pPr>
      <w:r>
        <w:t xml:space="preserve">areas of wall, pipe, ceiling or fixture condition requiring further factual identification;</w:t>
      </w:r>
    </w:p>
    <w:p>
      <w:pPr>
        <w:pStyle w:val="Compact"/>
        <w:numPr>
          <w:ilvl w:val="0"/>
          <w:numId w:val="1018"/>
        </w:numPr>
      </w:pPr>
      <w:r>
        <w:t xml:space="preserve">personal property and household conditions consistent with the applicant’s contemporaneous complaints about inadequate equipment and unsuitable living circumstances. [D2]</w:t>
      </w:r>
    </w:p>
    <w:p>
      <w:pPr>
        <w:pStyle w:val="FirstParagraph"/>
      </w:pPr>
      <w:r>
        <w:t xml:space="preserve">These images do not, standing alone, establish which public authority caused or was legally responsible for each condition, the date of each photograph, or whether an entitlement was unlawfully refused. Their legal value is corroborative: they are materially consistent with the applicant’s documented 2006-2007 complaints concerning the absence of essential household items, inadequate accommodation and health-related difficulty coping with those circumstances.</w:t>
      </w:r>
    </w:p>
    <w:p>
      <w:pPr>
        <w:pStyle w:val="BodyText"/>
      </w:pPr>
      <w:r>
        <w:t xml:space="preserve">For evidentiary use, the original photographs should be preserved together with metadata, any contemporaneous cover letter identifying when and where the photographs were taken, and the record showing whether and when they were submitted to the Committee.</w:t>
      </w:r>
    </w:p>
    <w:bookmarkEnd w:id="84"/>
    <w:bookmarkStart w:id="89" w:name="Xfa6defca1e821c456fe10413d7e371aa05d4373"/>
    <w:p>
      <w:pPr>
        <w:pStyle w:val="Heading1"/>
      </w:pPr>
      <w:r>
        <w:t xml:space="preserve">7. Assessment of What the Abgeordnetenhaus Handled Correctly</w:t>
      </w:r>
    </w:p>
    <w:p>
      <w:pPr>
        <w:pStyle w:val="FirstParagraph"/>
      </w:pPr>
      <w:r>
        <w:t xml:space="preserve">A balanced legal analysis must record procedural actions that appear proper on the evidence available.</w:t>
      </w:r>
    </w:p>
    <w:bookmarkStart w:id="85" w:name="registration-and-written-acknowledgment"/>
    <w:p>
      <w:pPr>
        <w:pStyle w:val="Heading2"/>
      </w:pPr>
      <w:r>
        <w:t xml:space="preserve">7.1 Registration and written acknowledgment</w:t>
      </w:r>
    </w:p>
    <w:p>
      <w:pPr>
        <w:pStyle w:val="FirstParagraph"/>
      </w:pPr>
      <w:r>
        <w:t xml:space="preserve">The Committee registered the initial submission as 9824/15 and the later submission as 1222/16, provided file references and acknowledged that investigation would take time. This is consistent with the petition right and written-procedure requirements. [D1, pp. 12, 25; W1-W2]</w:t>
      </w:r>
    </w:p>
    <w:bookmarkEnd w:id="85"/>
    <w:bookmarkStart w:id="86" w:name="X26dc41e9e84983206a8bf2b7deb0585ec7b6549"/>
    <w:p>
      <w:pPr>
        <w:pStyle w:val="Heading2"/>
      </w:pPr>
      <w:r>
        <w:t xml:space="preserve">7.2 Identification of competence limits concerning courts</w:t>
      </w:r>
    </w:p>
    <w:p>
      <w:pPr>
        <w:pStyle w:val="FirstParagraph"/>
      </w:pPr>
      <w:r>
        <w:t xml:space="preserve">The Committee informed the applicant that it could not alter or intervene in independent court proceedings. That position is consistent with the division of powers and the official Berlin explanation that the Committee cannot review or change judicial decisions. [D6; W1]</w:t>
      </w:r>
    </w:p>
    <w:p>
      <w:pPr>
        <w:pStyle w:val="BodyText"/>
      </w:pPr>
      <w:r>
        <w:t xml:space="preserve">This does not mean that all complaints connected with a court dispute were outside its competence: it remained entitled to scrutinise administrative conduct by Berlin agencies, including whether those agencies complied with legal obligations outside the adjudicative function of courts.</w:t>
      </w:r>
    </w:p>
    <w:bookmarkEnd w:id="86"/>
    <w:bookmarkStart w:id="87" w:name="Xb4bc717a39de909d6729d8f7e3d93777826f8ca"/>
    <w:p>
      <w:pPr>
        <w:pStyle w:val="Heading2"/>
      </w:pPr>
      <w:r>
        <w:t xml:space="preserve">7.3 Forwarding of the federal pension component</w:t>
      </w:r>
    </w:p>
    <w:p>
      <w:pPr>
        <w:pStyle w:val="FirstParagraph"/>
      </w:pPr>
      <w:r>
        <w:t xml:space="preserve">The Committee forwarded the pension component once it was informed that Deutsche Rentenversicherung Bund was the responsible pension account holder. The official Berlin guidance identifies conduct of federal bodies as outside the Berlin Committee’s competence and states that petitions may be forwarded to the competent institution. The forwarding therefore appears procedurally lawful and appropriate as to the pension-administration issue. [D1, p. 20; W1]</w:t>
      </w:r>
    </w:p>
    <w:bookmarkEnd w:id="87"/>
    <w:bookmarkStart w:id="88" w:name="X832f25773189d9e87490dd2507501e91bd01846"/>
    <w:p>
      <w:pPr>
        <w:pStyle w:val="Heading2"/>
      </w:pPr>
      <w:r>
        <w:t xml:space="preserve">7.4 Recorded inquiry with several Berlin/federal-facing bodies</w:t>
      </w:r>
    </w:p>
    <w:p>
      <w:pPr>
        <w:pStyle w:val="FirstParagraph"/>
      </w:pPr>
      <w:r>
        <w:t xml:space="preserve">The Committee stated that it made inquiries with Bezirksamt Neukoelln, Senatsverwaltung fuer Inneres und Sport, Deutsche Rentenversicherung Berlin-Brandenburg and later Bezirksamt Reinickendorf. It further documented a correction or remedy regarding refrigerator assistance and reported the health-care arrangement relied upon by Reinickendorf. These steps demonstrate that the Committee did not remain entirely inactive. [D1, pp. 20, 29-30; D6]</w:t>
      </w:r>
    </w:p>
    <w:bookmarkEnd w:id="88"/>
    <w:bookmarkEnd w:id="89"/>
    <w:bookmarkStart w:id="111" w:name="Xe6875fe36856f9bcab4d04a2e5de4bee545a04d"/>
    <w:p>
      <w:pPr>
        <w:pStyle w:val="Heading1"/>
      </w:pPr>
      <w:r>
        <w:t xml:space="preserve">8. Apparent Procedural Deficiencies and Potential Legal Failures</w:t>
      </w:r>
    </w:p>
    <w:p>
      <w:pPr>
        <w:pStyle w:val="FirstParagraph"/>
      </w:pPr>
      <w:r>
        <w:t xml:space="preserve">The following findings are expressed as</w:t>
      </w:r>
      <w:r>
        <w:t xml:space="preserve"> </w:t>
      </w:r>
      <w:r>
        <w:rPr>
          <w:b/>
          <w:bCs/>
        </w:rPr>
        <w:t xml:space="preserve">document-supported concerns</w:t>
      </w:r>
      <w:r>
        <w:t xml:space="preserve"> </w:t>
      </w:r>
      <w:r>
        <w:t xml:space="preserve">or</w:t>
      </w:r>
      <w:r>
        <w:t xml:space="preserve"> </w:t>
      </w:r>
      <w:r>
        <w:rPr>
          <w:b/>
          <w:bCs/>
        </w:rPr>
        <w:t xml:space="preserve">prima facie potential failures</w:t>
      </w:r>
      <w:r>
        <w:t xml:space="preserve">, not as final adjudicated violations.</w:t>
      </w:r>
    </w:p>
    <w:bookmarkStart w:id="92" w:name="Xeaebbbe128dcf6a2f9cd4cad42a8d4e4422ae37"/>
    <w:p>
      <w:pPr>
        <w:pStyle w:val="Heading2"/>
      </w:pPr>
      <w:r>
        <w:t xml:space="preserve">8.1 Apparent narrowing of an exceptionally grave complaint</w:t>
      </w:r>
    </w:p>
    <w:bookmarkStart w:id="90" w:name="evidence"/>
    <w:p>
      <w:pPr>
        <w:pStyle w:val="Heading3"/>
      </w:pPr>
      <w:r>
        <w:t xml:space="preserve">Evidence</w:t>
      </w:r>
    </w:p>
    <w:p>
      <w:pPr>
        <w:pStyle w:val="FirstParagraph"/>
      </w:pPr>
      <w:r>
        <w:t xml:space="preserve">The initial complaint alleged detention without legal basis, denial of medical treatment, release into homelessness while ill, police violence in detention, deprivation of subsistence and accommodation, psychiatric-treatment concerns and grave long-term health consequences. [D3]</w:t>
      </w:r>
    </w:p>
    <w:p>
      <w:pPr>
        <w:pStyle w:val="BodyText"/>
      </w:pPr>
      <w:r>
        <w:t xml:space="preserve">The initial administrative heading used by the Committee was only</w:t>
      </w:r>
      <w:r>
        <w:t xml:space="preserve"> </w:t>
      </w:r>
      <w:r>
        <w:rPr>
          <w:b/>
          <w:bCs/>
        </w:rPr>
        <w:t xml:space="preserve">“</w:t>
      </w:r>
      <w:r>
        <w:rPr>
          <w:b/>
          <w:bCs/>
        </w:rPr>
        <w:t xml:space="preserve">support in social matters</w:t>
      </w:r>
      <w:r>
        <w:rPr>
          <w:b/>
          <w:bCs/>
        </w:rPr>
        <w:t xml:space="preserve">”</w:t>
      </w:r>
      <w:r>
        <w:t xml:space="preserve">, later supplemented by residence permit and pension. The substantive response concentrated primarily on benefits, household assistance, pension competence and residence-administration information. It gave only a short statement that events involving police officers in 1998/1999 could not be clarified. [D1, pp. 12, 15, 18, 20-21]</w:t>
      </w:r>
    </w:p>
    <w:bookmarkEnd w:id="90"/>
    <w:bookmarkStart w:id="91" w:name="legal-assessment"/>
    <w:p>
      <w:pPr>
        <w:pStyle w:val="Heading3"/>
      </w:pPr>
      <w:r>
        <w:t xml:space="preserve">Legal assessment</w:t>
      </w:r>
    </w:p>
    <w:p>
      <w:pPr>
        <w:pStyle w:val="FirstParagraph"/>
      </w:pPr>
      <w:r>
        <w:t xml:space="preserve">The Committee was empowered to examine acts and omissions of Berlin authorities and possessed information-gathering powers, including file production, hearings and, within its competence, witnesses and expert evidence. [W1-W2]</w:t>
      </w:r>
    </w:p>
    <w:p>
      <w:pPr>
        <w:pStyle w:val="BodyText"/>
      </w:pPr>
      <w:r>
        <w:t xml:space="preserve">Where a petition explicitly alleges severe harm to health and physical integrity arising from Berlin authority conduct, a response limited largely to social-benefit categorisation may fail to demonstrate that the petition was considered in its essential substance. The record does not show a documented issue-by-issue assessment of the severe allegations. This creates a prima facie concern under the petition right and the statutory duty to exercise discretion properly.</w:t>
      </w:r>
    </w:p>
    <w:bookmarkEnd w:id="91"/>
    <w:bookmarkEnd w:id="92"/>
    <w:bookmarkStart w:id="95" w:name="X07a282cf29d5178eb34373612107b2604933227"/>
    <w:p>
      <w:pPr>
        <w:pStyle w:val="Heading2"/>
      </w:pPr>
      <w:r>
        <w:t xml:space="preserve">8.2 Lack of visible fact-finding regarding detention/police and medical allegations</w:t>
      </w:r>
    </w:p>
    <w:bookmarkStart w:id="93" w:name="evidence-1"/>
    <w:p>
      <w:pPr>
        <w:pStyle w:val="Heading3"/>
      </w:pPr>
      <w:r>
        <w:t xml:space="preserve">Evidence</w:t>
      </w:r>
    </w:p>
    <w:p>
      <w:pPr>
        <w:pStyle w:val="FirstParagraph"/>
      </w:pPr>
      <w:r>
        <w:t xml:space="preserve">The applicant complained of serious misconduct by Berlin police/detention authorities in 1998 and 1999 and later denial of medical care. The Committee stated only that events from 1998 or 1999 could not be clarified and, in later correspondence, that past events could not now be undone. [D3; D1, p. 21; D6]</w:t>
      </w:r>
    </w:p>
    <w:bookmarkEnd w:id="93"/>
    <w:bookmarkStart w:id="94" w:name="legal-assessment-1"/>
    <w:p>
      <w:pPr>
        <w:pStyle w:val="Heading3"/>
      </w:pPr>
      <w:r>
        <w:t xml:space="preserve">Legal assessment</w:t>
      </w:r>
    </w:p>
    <w:p>
      <w:pPr>
        <w:pStyle w:val="FirstParagraph"/>
      </w:pPr>
      <w:r>
        <w:t xml:space="preserve">The inability to remedy past harm is not the same as the inability to investigate it. Under the statutory powers described in official sources, the Committee could request files and reports from Berlin authorities, hear relevant persons and, where necessary, consider witnesses or experts. [W2]</w:t>
      </w:r>
    </w:p>
    <w:p>
      <w:pPr>
        <w:pStyle w:val="BodyText"/>
      </w:pPr>
      <w:r>
        <w:t xml:space="preserve">No visible document in the supplied record shows:</w:t>
      </w:r>
    </w:p>
    <w:p>
      <w:pPr>
        <w:pStyle w:val="Compact"/>
        <w:numPr>
          <w:ilvl w:val="0"/>
          <w:numId w:val="1019"/>
        </w:numPr>
      </w:pPr>
      <w:r>
        <w:t xml:space="preserve">a request for detention or police records relating to the specified events;</w:t>
      </w:r>
    </w:p>
    <w:p>
      <w:pPr>
        <w:pStyle w:val="Compact"/>
        <w:numPr>
          <w:ilvl w:val="0"/>
          <w:numId w:val="1019"/>
        </w:numPr>
      </w:pPr>
      <w:r>
        <w:t xml:space="preserve">a reasoned conclusion that such records no longer existed;</w:t>
      </w:r>
    </w:p>
    <w:p>
      <w:pPr>
        <w:pStyle w:val="Compact"/>
        <w:numPr>
          <w:ilvl w:val="0"/>
          <w:numId w:val="1019"/>
        </w:numPr>
      </w:pPr>
      <w:r>
        <w:t xml:space="preserve">a hearing of the applicant about the detailed allegations;</w:t>
      </w:r>
    </w:p>
    <w:p>
      <w:pPr>
        <w:pStyle w:val="Compact"/>
        <w:numPr>
          <w:ilvl w:val="0"/>
          <w:numId w:val="1019"/>
        </w:numPr>
      </w:pPr>
      <w:r>
        <w:t xml:space="preserve">a request for medical records relevant to claimed treatment deprivation;</w:t>
      </w:r>
    </w:p>
    <w:p>
      <w:pPr>
        <w:pStyle w:val="Compact"/>
        <w:numPr>
          <w:ilvl w:val="0"/>
          <w:numId w:val="1019"/>
        </w:numPr>
      </w:pPr>
      <w:r>
        <w:t xml:space="preserve">referral of possible criminal misconduct to the competent investigatory body;</w:t>
      </w:r>
    </w:p>
    <w:p>
      <w:pPr>
        <w:pStyle w:val="Compact"/>
        <w:numPr>
          <w:ilvl w:val="0"/>
          <w:numId w:val="1019"/>
        </w:numPr>
      </w:pPr>
      <w:r>
        <w:t xml:space="preserve">use or consideration of an independent expert where medical consequences were central.</w:t>
      </w:r>
    </w:p>
    <w:p>
      <w:pPr>
        <w:pStyle w:val="FirstParagraph"/>
      </w:pPr>
      <w:r>
        <w:t xml:space="preserve">Absent the internal petition file, one cannot conclusively prove that none of these steps occurred. However, the response communicated to the applicant does not demonstrate such investigation. This is a major documentary gap and a possible procedural deficiency.</w:t>
      </w:r>
    </w:p>
    <w:bookmarkEnd w:id="94"/>
    <w:bookmarkEnd w:id="95"/>
    <w:bookmarkStart w:id="98" w:name="X31607529d0a46926f86c98e83358be8cfe91938"/>
    <w:p>
      <w:pPr>
        <w:pStyle w:val="Heading2"/>
      </w:pPr>
      <w:r>
        <w:t xml:space="preserve">8.3 Formal health-coverage reasoning did not visibly answer practical denial-of-treatment allegations</w:t>
      </w:r>
    </w:p>
    <w:bookmarkStart w:id="96" w:name="evidence-2"/>
    <w:p>
      <w:pPr>
        <w:pStyle w:val="Heading3"/>
      </w:pPr>
      <w:r>
        <w:t xml:space="preserve">Evidence</w:t>
      </w:r>
    </w:p>
    <w:p>
      <w:pPr>
        <w:pStyle w:val="FirstParagraph"/>
      </w:pPr>
      <w:r>
        <w:t xml:space="preserve">The applicant alleged that medicines and therapies had been withheld and that his health was endangered. The Committee’s November 2007 response reported that he was registered through AOK Berlin under section 264 SGB V and therefore could obtain services available within statutory health provision, advising him to seek medical treatment when needed. [D6]</w:t>
      </w:r>
    </w:p>
    <w:bookmarkEnd w:id="96"/>
    <w:bookmarkStart w:id="97" w:name="legal-assessment-2"/>
    <w:p>
      <w:pPr>
        <w:pStyle w:val="Heading3"/>
      </w:pPr>
      <w:r>
        <w:t xml:space="preserve">Legal assessment</w:t>
      </w:r>
    </w:p>
    <w:p>
      <w:pPr>
        <w:pStyle w:val="FirstParagraph"/>
      </w:pPr>
      <w:r>
        <w:t xml:space="preserve">A statement that a financing mechanism or treatment card arrangement exists is relevant, but it does not by itself determine whether:</w:t>
      </w:r>
    </w:p>
    <w:p>
      <w:pPr>
        <w:pStyle w:val="Compact"/>
        <w:numPr>
          <w:ilvl w:val="0"/>
          <w:numId w:val="1020"/>
        </w:numPr>
      </w:pPr>
      <w:r>
        <w:t xml:space="preserve">specific medication or therapy was refused;</w:t>
      </w:r>
    </w:p>
    <w:p>
      <w:pPr>
        <w:pStyle w:val="Compact"/>
        <w:numPr>
          <w:ilvl w:val="0"/>
          <w:numId w:val="1020"/>
        </w:numPr>
      </w:pPr>
      <w:r>
        <w:t xml:space="preserve">the applicant was practically able to access treatment;</w:t>
      </w:r>
    </w:p>
    <w:p>
      <w:pPr>
        <w:pStyle w:val="Compact"/>
        <w:numPr>
          <w:ilvl w:val="0"/>
          <w:numId w:val="1020"/>
        </w:numPr>
      </w:pPr>
      <w:r>
        <w:t xml:space="preserve">acute pain or life-threatening conditions were addressed;</w:t>
      </w:r>
    </w:p>
    <w:p>
      <w:pPr>
        <w:pStyle w:val="Compact"/>
        <w:numPr>
          <w:ilvl w:val="0"/>
          <w:numId w:val="1020"/>
        </w:numPr>
      </w:pPr>
      <w:r>
        <w:t xml:space="preserve">prior treatment denial caused ongoing damage;</w:t>
      </w:r>
    </w:p>
    <w:p>
      <w:pPr>
        <w:pStyle w:val="Compact"/>
        <w:numPr>
          <w:ilvl w:val="0"/>
          <w:numId w:val="1020"/>
        </w:numPr>
      </w:pPr>
      <w:r>
        <w:t xml:space="preserve">the registering/benefit agency correctly performed its obligations in the applicant’s concrete case.</w:t>
      </w:r>
    </w:p>
    <w:p>
      <w:pPr>
        <w:pStyle w:val="FirstParagraph"/>
      </w:pPr>
      <w:r>
        <w:t xml:space="preserve">Because the complaint alleged actual deprivation rather than merely uncertainty about legal entitlement, an adequate inquiry would ordinarily need to compare the alleged refusals, medical evidence and agency records. The visible response does not do so. This raises a potential failure to investigate a central petition claim within Berlin administrative responsibility.</w:t>
      </w:r>
    </w:p>
    <w:bookmarkEnd w:id="97"/>
    <w:bookmarkEnd w:id="98"/>
    <w:bookmarkStart w:id="101" w:name="X78f35c63701e97de9cc498be2cae35a601ef085"/>
    <w:p>
      <w:pPr>
        <w:pStyle w:val="Heading2"/>
      </w:pPr>
      <w:r>
        <w:t xml:space="preserve">8.4 Housing and essential household support assessed without visible vulnerability analysis</w:t>
      </w:r>
    </w:p>
    <w:bookmarkStart w:id="99" w:name="evidence-3"/>
    <w:p>
      <w:pPr>
        <w:pStyle w:val="Heading3"/>
      </w:pPr>
      <w:r>
        <w:t xml:space="preserve">Evidence</w:t>
      </w:r>
    </w:p>
    <w:p>
      <w:pPr>
        <w:pStyle w:val="FirstParagraph"/>
      </w:pPr>
      <w:r>
        <w:t xml:space="preserve">The applicant repeatedly complained that he lacked essential household items, including a refrigerator, carpet/floor covering, washing machine and furniture, while seriously ill and living in inadequate conditions. The photographic evidence is consistent with materially restricted and inadequately equipped living circumstances. [D1, pp. 7-8, 22-24; D2]</w:t>
      </w:r>
    </w:p>
    <w:p>
      <w:pPr>
        <w:pStyle w:val="BodyText"/>
      </w:pPr>
      <w:r>
        <w:t xml:space="preserve">The Committee recorded a EUR 200 refrigerator benefit and later stated that additional furniture/carpet assistance could not be obtained beyond initial furnishing, although a loan might be sought for replacement purchases. [D1, pp. 29-30; D6]</w:t>
      </w:r>
    </w:p>
    <w:bookmarkEnd w:id="99"/>
    <w:bookmarkStart w:id="100" w:name="legal-assessment-3"/>
    <w:p>
      <w:pPr>
        <w:pStyle w:val="Heading3"/>
      </w:pPr>
      <w:r>
        <w:t xml:space="preserve">Legal assessment</w:t>
      </w:r>
    </w:p>
    <w:p>
      <w:pPr>
        <w:pStyle w:val="FirstParagraph"/>
      </w:pPr>
      <w:r>
        <w:t xml:space="preserve">The Committee was entitled to apply the statutory benefits structure and to record that further grants were not generally available. Nonetheless, where the petition alleged serious illness and living conditions affecting health and human dignity, a purely category-based response without visible consideration of individual medical vulnerability, emergency need or exceptional-case relief gives rise to a concern that relevant circumstances were not fully evaluated.</w:t>
      </w:r>
    </w:p>
    <w:p>
      <w:pPr>
        <w:pStyle w:val="BodyText"/>
      </w:pPr>
      <w:r>
        <w:t xml:space="preserve">This report cannot determine entitlement to each requested item without complete benefit decisions and medical records. It can conclude that the response visible in the petition file does not demonstrate an individualised assessment of the alleged health-related severity of the living conditions.</w:t>
      </w:r>
    </w:p>
    <w:bookmarkEnd w:id="100"/>
    <w:bookmarkEnd w:id="101"/>
    <w:bookmarkStart w:id="104" w:name="Xc072998f056256d4817b8c623cc4b13ddf9dfda"/>
    <w:p>
      <w:pPr>
        <w:pStyle w:val="Heading2"/>
      </w:pPr>
      <w:r>
        <w:t xml:space="preserve">8.5 Failure to give visible effect to the admitted or identified benefits-classification issue</w:t>
      </w:r>
    </w:p>
    <w:bookmarkStart w:id="102" w:name="evidence-4"/>
    <w:p>
      <w:pPr>
        <w:pStyle w:val="Heading3"/>
      </w:pPr>
      <w:r>
        <w:t xml:space="preserve">Evidence</w:t>
      </w:r>
    </w:p>
    <w:p>
      <w:pPr>
        <w:pStyle w:val="FirstParagraph"/>
      </w:pPr>
      <w:r>
        <w:t xml:space="preserve">The applicant argued in June 2007 that his residence status meant he belonged within the AsylbLG system and had been wrongly referred to the SGB II/Jobcenter system. The Committee’s September 2007 reasoning records that JobCenter Mitte had initially proceeded on an erroneous SGB II assumption and that the proper benefit regime was AsylbLG. [D1, pp. 22-24, 29-30]</w:t>
      </w:r>
    </w:p>
    <w:bookmarkEnd w:id="102"/>
    <w:bookmarkStart w:id="103" w:name="legal-assessment-4"/>
    <w:p>
      <w:pPr>
        <w:pStyle w:val="Heading3"/>
      </w:pPr>
      <w:r>
        <w:t xml:space="preserve">Legal assessment</w:t>
      </w:r>
    </w:p>
    <w:p>
      <w:pPr>
        <w:pStyle w:val="FirstParagraph"/>
      </w:pPr>
      <w:r>
        <w:t xml:space="preserve">If an authority acknowledged that the applicant had been dealt with under the wrong benefit framework, a complete petition response should address:</w:t>
      </w:r>
    </w:p>
    <w:p>
      <w:pPr>
        <w:pStyle w:val="Compact"/>
        <w:numPr>
          <w:ilvl w:val="0"/>
          <w:numId w:val="1021"/>
        </w:numPr>
      </w:pPr>
      <w:r>
        <w:t xml:space="preserve">the period affected by the error;</w:t>
      </w:r>
    </w:p>
    <w:p>
      <w:pPr>
        <w:pStyle w:val="Compact"/>
        <w:numPr>
          <w:ilvl w:val="0"/>
          <w:numId w:val="1021"/>
        </w:numPr>
      </w:pPr>
      <w:r>
        <w:t xml:space="preserve">whether benefits or health entitlements were lost or delayed;</w:t>
      </w:r>
    </w:p>
    <w:p>
      <w:pPr>
        <w:pStyle w:val="Compact"/>
        <w:numPr>
          <w:ilvl w:val="0"/>
          <w:numId w:val="1021"/>
        </w:numPr>
      </w:pPr>
      <w:r>
        <w:t xml:space="preserve">whether corrective payment or other remedial action was required;</w:t>
      </w:r>
    </w:p>
    <w:p>
      <w:pPr>
        <w:pStyle w:val="Compact"/>
        <w:numPr>
          <w:ilvl w:val="0"/>
          <w:numId w:val="1021"/>
        </w:numPr>
      </w:pPr>
      <w:r>
        <w:t xml:space="preserve">whether the error contributed to other issues raised in the petition.</w:t>
      </w:r>
    </w:p>
    <w:p>
      <w:pPr>
        <w:pStyle w:val="FirstParagraph"/>
      </w:pPr>
      <w:r>
        <w:t xml:space="preserve">The visible response appears to state the correction but does not document an examination of consequences. This is a potential deficiency in the remedial handling of an issue that the Committee itself appears to have accepted as involving administrative error.</w:t>
      </w:r>
    </w:p>
    <w:bookmarkEnd w:id="103"/>
    <w:bookmarkEnd w:id="104"/>
    <w:bookmarkStart w:id="107" w:name="X26440c0619c24fb460ceb0803c7b73e27c1a2c5"/>
    <w:p>
      <w:pPr>
        <w:pStyle w:val="Heading2"/>
      </w:pPr>
      <w:r>
        <w:t xml:space="preserve">8.6 Treatment of the December 2007 submission as repetitive without visible material-newness assessment</w:t>
      </w:r>
    </w:p>
    <w:bookmarkStart w:id="105" w:name="evidence-5"/>
    <w:p>
      <w:pPr>
        <w:pStyle w:val="Heading3"/>
      </w:pPr>
      <w:r>
        <w:t xml:space="preserve">Evidence</w:t>
      </w:r>
    </w:p>
    <w:p>
      <w:pPr>
        <w:pStyle w:val="FirstParagraph"/>
      </w:pPr>
      <w:r>
        <w:t xml:space="preserve">The applicant’s 1 December 2007 letter invoked both file references, alleged a newly relevant lifting of his territorial restriction effective 11 October 2007, relied expressly on section 16(2) SGB I in relation to forwarding of benefit applications, maintained ongoing health/housing consequences and transmitted a DVD. [D7]</w:t>
      </w:r>
    </w:p>
    <w:p>
      <w:pPr>
        <w:pStyle w:val="BodyText"/>
      </w:pPr>
      <w:r>
        <w:t xml:space="preserve">The Committee rejected the renewed submission by citing section 2(3), sentence 2, Petitionsgesetz, stating only that it had already explained the legal and factual position and had nothing more to add. It returned the DVD and declared that equivalent correspondence would no longer be answered. [D8]</w:t>
      </w:r>
    </w:p>
    <w:bookmarkEnd w:id="105"/>
    <w:bookmarkStart w:id="106" w:name="legal-assessment-5"/>
    <w:p>
      <w:pPr>
        <w:pStyle w:val="Heading3"/>
      </w:pPr>
      <w:r>
        <w:t xml:space="preserve">Legal assessment</w:t>
      </w:r>
    </w:p>
    <w:p>
      <w:pPr>
        <w:pStyle w:val="FirstParagraph"/>
      </w:pPr>
      <w:r>
        <w:t xml:space="preserve">The repeated-petition rule applies only where a submission merely repeats prior content</w:t>
      </w:r>
      <w:r>
        <w:t xml:space="preserve"> </w:t>
      </w:r>
      <w:r>
        <w:rPr>
          <w:b/>
          <w:bCs/>
        </w:rPr>
        <w:t xml:space="preserve">without materially new submissions</w:t>
      </w:r>
      <w:r>
        <w:t xml:space="preserve">. On the face of D7, the applicant asserted new events and new legal grounds. The Committee’s response does not visibly explain whether it inspected the DVD, evaluated the new asserted court-lifted restriction, considered section 16(2) SGB I, or assessed continuing medical/housing effects.</w:t>
      </w:r>
    </w:p>
    <w:p>
      <w:pPr>
        <w:pStyle w:val="BodyText"/>
      </w:pPr>
      <w:r>
        <w:t xml:space="preserve">This is the clearest procedural issue disclosed by the present documents. The Committee may ultimately have had lawful reasons for concluding that none of these matters was material or within its competence; however, that conclusion is not reasoned in the communication supplied. A request for the complete file and internal assessment is required to determine whether the statutory condition for dismissal as repetitive was properly applied.</w:t>
      </w:r>
    </w:p>
    <w:bookmarkEnd w:id="106"/>
    <w:bookmarkEnd w:id="107"/>
    <w:bookmarkStart w:id="110" w:name="X0e581e98ad034c8c19dcf60696d84f05e935c99"/>
    <w:p>
      <w:pPr>
        <w:pStyle w:val="Heading2"/>
      </w:pPr>
      <w:r>
        <w:t xml:space="preserve">8.7 Transparency and record-access concern relating to file 7321/16</w:t>
      </w:r>
    </w:p>
    <w:bookmarkStart w:id="108" w:name="evidence-6"/>
    <w:p>
      <w:pPr>
        <w:pStyle w:val="Heading3"/>
      </w:pPr>
      <w:r>
        <w:t xml:space="preserve">Evidence</w:t>
      </w:r>
    </w:p>
    <w:p>
      <w:pPr>
        <w:pStyle w:val="FirstParagraph"/>
      </w:pPr>
      <w:r>
        <w:t xml:space="preserve">The applicant identifies an additional Berlin file number, 7321/16. It was not located in the official correspondence pages currently identified, and a public official web search yielded no case-identifying information for it.</w:t>
      </w:r>
    </w:p>
    <w:bookmarkEnd w:id="108"/>
    <w:bookmarkStart w:id="109" w:name="legal-assessment-6"/>
    <w:p>
      <w:pPr>
        <w:pStyle w:val="Heading3"/>
      </w:pPr>
      <w:r>
        <w:t xml:space="preserve">Legal assessment</w:t>
      </w:r>
    </w:p>
    <w:p>
      <w:pPr>
        <w:pStyle w:val="FirstParagraph"/>
      </w:pPr>
      <w:r>
        <w:t xml:space="preserve">A missing public trace is not itself unlawful because individual petition records may not be published publicly. The appropriate legal step is to request confirmation of registration, subject matter, status and disclosure of the petition file directly from the Committee. The absence should be documented as an evidentiary gap, not interpreted as proof that a file was deleted or concealed.</w:t>
      </w:r>
    </w:p>
    <w:bookmarkEnd w:id="109"/>
    <w:bookmarkEnd w:id="110"/>
    <w:bookmarkEnd w:id="111"/>
    <w:bookmarkStart w:id="112" w:name="Xcfdc18fae438828967926fdf8321f259430d1fd"/>
    <w:p>
      <w:pPr>
        <w:pStyle w:val="Heading1"/>
      </w:pPr>
      <w:r>
        <w:t xml:space="preserve">9. Issue Matrix: Allegation, Authority Response and Legal Assessment</w:t>
      </w:r>
    </w:p>
    <w:tbl>
      <w:tblPr>
        <w:tblStyle w:val="Table"/>
        <w:tblW w:type="pct" w:w="5000"/>
        <w:jc w:val="center"/>
        <w:tblLayout w:type="autofit"/>
        <w:tblLook w:firstRow="1" w:lastRow="0" w:firstColumn="0" w:lastColumn="0" w:noHBand="0" w:noVBand="0" w:val="002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1980"/>
        <w:gridCol w:w="1980"/>
        <w:gridCol w:w="1980"/>
        <w:gridCol w:w="1980"/>
      </w:tblGrid>
      <w:tr>
        <w:trPr>
          <w:tblHeader w:val="on"/>
          <w:cantSplit/>
        </w:trPr>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Issue raised before the Committee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Documentary evidence of notice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Visible Committee response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Assessment in this report</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Alleged unlawful detention and denial of treatment in 1998</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Initial complaint, 05.09.2006 [D3]</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No detailed response visible; later general inability to clarify past events</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Serious allegation within potential Berlin-authority scrutiny; fact-finding not demonstrated in response.</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Alleged police violence in Gruenau detention in 1999</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Initial complaint and supplements [D3]</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Committee said 1998/1999 events could not be clarified [D1, p. 21]</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Closure without visible explanation of investigative steps is a procedural concern.</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Medical deprivation and severe health consequences</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Initial complaint; 2007 medical/disability submissions; hospital-written objection [D3-D6]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Section 264 SGB V/AOK route stated; seek treatment when needed [D6]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Formal entitlement does not resolve alleged practical denial or past harm; insufficient inquiry may be indicated.</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Inability to work/disability pension</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27.02.2007 supplement [D4]</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Forwarded to Bundestag due to federal pension competence [D1, p. 20]</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Forwarding appears procedurally proper; substantive federal handling excluded from this report.</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Residence permit and benefit-regime classification</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9824/15 and 1222/16 submissions [D4]</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Committee recorded SGB II assumption was erroneous and AsylbLG framework applicable [D1, pp. 29-30]</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Corrective recognition is significant; visible record does not analyse consequences/remedy for the error.</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Essential household goods and inadequate living conditions</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Repeated submissions and photographs [D1, D2]</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Refrigerator assistance; further grants denied; loan suggested [D6]</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Legal benefit rule may apply, but response does not show individualised health/vulnerability analysis.</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Judicial proceedings</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Applicant asked for support in court proceedings [D4]</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Committee declined intervention due to judicial independence [D6]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Correct competence boundary, while administrative conduct remained reviewable.</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New December 2007 evidence and legal grounds</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01.12.2007 complaint and DVD [D7-D8]</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Declared disposed of as repetitive under PetG; DVD returned [D8]</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Possible misapplication or insufficient reasoning under the</w:t>
            </w:r>
            <w:r>
              <w:rPr>
                <w:rFonts w:ascii="Aptos" w:hAnsi="Aptos"/>
                <w:sz w:val="17"/>
              </w:rPr>
              <w:t xml:space="preserve"> </w:t>
            </w:r>
            <w:r>
              <w:rPr>
                <w:rFonts w:ascii="Aptos" w:hAnsi="Aptos"/>
                <w:sz w:val="17"/>
              </w:rPr>
              <w:t xml:space="preserve">“</w:t>
            </w:r>
            <w:r>
              <w:rPr>
                <w:rFonts w:ascii="Aptos" w:hAnsi="Aptos"/>
                <w:sz w:val="17"/>
              </w:rPr>
              <w:t xml:space="preserve">materially new submissions</w:t>
            </w:r>
            <w:r>
              <w:rPr>
                <w:rFonts w:ascii="Aptos" w:hAnsi="Aptos"/>
                <w:sz w:val="17"/>
              </w:rPr>
              <w:t xml:space="preserve">”</w:t>
            </w:r>
            <w:r>
              <w:rPr>
                <w:rFonts w:ascii="Aptos" w:hAnsi="Aptos"/>
                <w:sz w:val="17"/>
              </w:rPr>
              <w:t xml:space="preserve"> </w:t>
            </w:r>
            <w:r>
              <w:rPr>
                <w:rFonts w:ascii="Aptos" w:hAnsi="Aptos"/>
                <w:sz w:val="17"/>
              </w:rPr>
              <w:t xml:space="preserve">condition.</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File 7321/16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Applicant’s present identification</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No located official correspondence or public hit</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Must be verified by file-disclosure/registration request; no conclusion possible now.</w:t>
            </w:r>
          </w:p>
        </w:tc>
      </w:tr>
    </w:tbl>
    <w:bookmarkEnd w:id="112"/>
    <w:bookmarkStart w:id="116" w:name="Xe8b45828f41a57ffc339f4132bdf0409606ca60"/>
    <w:p>
      <w:pPr>
        <w:pStyle w:val="Heading1"/>
      </w:pPr>
      <w:r>
        <w:t xml:space="preserve">10. Potential Rights and Legal Standards Engaged</w:t>
      </w:r>
    </w:p>
    <w:bookmarkStart w:id="113" w:name="petition-rights-and-procedural-legality"/>
    <w:p>
      <w:pPr>
        <w:pStyle w:val="Heading2"/>
      </w:pPr>
      <w:r>
        <w:t xml:space="preserve">10.1 Petition rights and procedural legality</w:t>
      </w:r>
    </w:p>
    <w:p>
      <w:pPr>
        <w:pStyle w:val="FirstParagraph"/>
      </w:pPr>
      <w:r>
        <w:t xml:space="preserve">The most direct legal issue is the right to have a petition received and handled according to the governing parliamentary procedure. On the documents, the applicant obtained formal access and written decisions, but the quality and scope of the investigation are open to serious question where allegations concerned physical integrity, medical deprivation and serious official misconduct.</w:t>
      </w:r>
    </w:p>
    <w:p>
      <w:pPr>
        <w:pStyle w:val="BodyText"/>
      </w:pPr>
      <w:r>
        <w:rPr>
          <w:b/>
          <w:bCs/>
        </w:rPr>
        <w:t xml:space="preserve">Potentially engaged standards:</w:t>
      </w:r>
    </w:p>
    <w:p>
      <w:pPr>
        <w:pStyle w:val="Compact"/>
        <w:numPr>
          <w:ilvl w:val="0"/>
          <w:numId w:val="1022"/>
        </w:numPr>
      </w:pPr>
      <w:r>
        <w:t xml:space="preserve">Article 17 Basic Law;</w:t>
      </w:r>
    </w:p>
    <w:p>
      <w:pPr>
        <w:pStyle w:val="Compact"/>
        <w:numPr>
          <w:ilvl w:val="0"/>
          <w:numId w:val="1022"/>
        </w:numPr>
      </w:pPr>
      <w:r>
        <w:t xml:space="preserve">Article 34 Constitution of Berlin;</w:t>
      </w:r>
    </w:p>
    <w:p>
      <w:pPr>
        <w:pStyle w:val="Compact"/>
        <w:numPr>
          <w:ilvl w:val="0"/>
          <w:numId w:val="1022"/>
        </w:numPr>
      </w:pPr>
      <w:r>
        <w:t xml:space="preserve">Petitionsgesetz Berlin as applicable in 2006-2007, including proper discretionary treatment, fact-finding powers and the condition governing repeated petitions.</w:t>
      </w:r>
    </w:p>
    <w:bookmarkEnd w:id="113"/>
    <w:bookmarkStart w:id="114" w:name="human-dignity-and-physical-integrity"/>
    <w:p>
      <w:pPr>
        <w:pStyle w:val="Heading2"/>
      </w:pPr>
      <w:r>
        <w:t xml:space="preserve">10.2 Human dignity and physical integrity</w:t>
      </w:r>
    </w:p>
    <w:p>
      <w:pPr>
        <w:pStyle w:val="FirstParagraph"/>
      </w:pPr>
      <w:r>
        <w:t xml:space="preserve">The petitions expressly placed Berlin authorities on notice of claimed severe illness, alleged deprivation of medical care and allegedly unfit living conditions. Insofar as Berlin authorities knew of an immediate or serious risk to health and failed to investigate or ensure legally available essential assistance, the underlying administrative conduct may engage:</w:t>
      </w:r>
    </w:p>
    <w:p>
      <w:pPr>
        <w:pStyle w:val="Compact"/>
        <w:numPr>
          <w:ilvl w:val="0"/>
          <w:numId w:val="1023"/>
        </w:numPr>
      </w:pPr>
      <w:r>
        <w:t xml:space="preserve">Article 1(1) Basic Law - protection of human dignity;</w:t>
      </w:r>
    </w:p>
    <w:p>
      <w:pPr>
        <w:pStyle w:val="Compact"/>
        <w:numPr>
          <w:ilvl w:val="0"/>
          <w:numId w:val="1023"/>
        </w:numPr>
      </w:pPr>
      <w:r>
        <w:t xml:space="preserve">Article 2(2) Basic Law - life and physical integrity;</w:t>
      </w:r>
    </w:p>
    <w:p>
      <w:pPr>
        <w:pStyle w:val="Compact"/>
        <w:numPr>
          <w:ilvl w:val="0"/>
          <w:numId w:val="1023"/>
        </w:numPr>
      </w:pPr>
      <w:r>
        <w:t xml:space="preserve">under international human-rights analysis, potentially Articles 2 and 3 of the European Convention on Human Rights, depending on proof of risk, knowledge and failure to act.</w:t>
      </w:r>
    </w:p>
    <w:p>
      <w:pPr>
        <w:pStyle w:val="FirstParagraph"/>
      </w:pPr>
      <w:r>
        <w:t xml:space="preserve">The present documents establish notice of the allegations to the Committee, but do not alone establish all elements of a substantive constitutional or Convention violation.</w:t>
      </w:r>
    </w:p>
    <w:bookmarkEnd w:id="114"/>
    <w:bookmarkStart w:id="115" w:name="X637e1b9989c4e2799d09e6b83370bcd2f2d91ec"/>
    <w:p>
      <w:pPr>
        <w:pStyle w:val="Heading2"/>
      </w:pPr>
      <w:r>
        <w:t xml:space="preserve">10.3 Social-law legality and effective access to health care</w:t>
      </w:r>
    </w:p>
    <w:p>
      <w:pPr>
        <w:pStyle w:val="FirstParagraph"/>
      </w:pPr>
      <w:r>
        <w:t xml:space="preserve">The Committee’s responses show that the applicant’s benefit classification and health-care administration were material issues. Potentially relevant statutory questions include:</w:t>
      </w:r>
    </w:p>
    <w:p>
      <w:pPr>
        <w:pStyle w:val="Compact"/>
        <w:numPr>
          <w:ilvl w:val="0"/>
          <w:numId w:val="1024"/>
        </w:numPr>
      </w:pPr>
      <w:r>
        <w:t xml:space="preserve">whether applications were transmitted to the competent social authority pursuant to section 16(2) SGB I;</w:t>
      </w:r>
    </w:p>
    <w:p>
      <w:pPr>
        <w:pStyle w:val="Compact"/>
        <w:numPr>
          <w:ilvl w:val="0"/>
          <w:numId w:val="1024"/>
        </w:numPr>
      </w:pPr>
      <w:r>
        <w:t xml:space="preserve">whether the applicant’s classification under AsylbLG was correct and timely implemented;</w:t>
      </w:r>
    </w:p>
    <w:p>
      <w:pPr>
        <w:pStyle w:val="Compact"/>
        <w:numPr>
          <w:ilvl w:val="0"/>
          <w:numId w:val="1024"/>
        </w:numPr>
      </w:pPr>
      <w:r>
        <w:t xml:space="preserve">whether the section 264 SGB V arrangement produced practical access to the treatment claimed to be necessary;</w:t>
      </w:r>
    </w:p>
    <w:p>
      <w:pPr>
        <w:pStyle w:val="Compact"/>
        <w:numPr>
          <w:ilvl w:val="0"/>
          <w:numId w:val="1024"/>
        </w:numPr>
      </w:pPr>
      <w:r>
        <w:t xml:space="preserve">whether section 4 AsylbLG health care for acute illness and pain was actually made available.</w:t>
      </w:r>
    </w:p>
    <w:p>
      <w:pPr>
        <w:pStyle w:val="FirstParagraph"/>
      </w:pPr>
      <w:r>
        <w:t xml:space="preserve">The Committee’s visible responses do not finally resolve those issues, because the full administrative decisions and medical-access records are not before this analysis.</w:t>
      </w:r>
    </w:p>
    <w:bookmarkEnd w:id="115"/>
    <w:bookmarkEnd w:id="116"/>
    <w:bookmarkStart w:id="121" w:name="findings-and-conclusions"/>
    <w:p>
      <w:pPr>
        <w:pStyle w:val="Heading1"/>
      </w:pPr>
      <w:r>
        <w:t xml:space="preserve">11. Findings and Conclusions</w:t>
      </w:r>
    </w:p>
    <w:bookmarkStart w:id="117" w:name="established-documentary-facts"/>
    <w:p>
      <w:pPr>
        <w:pStyle w:val="Heading2"/>
      </w:pPr>
      <w:r>
        <w:t xml:space="preserve">11.1 Established documentary facts</w:t>
      </w:r>
    </w:p>
    <w:p>
      <w:pPr>
        <w:pStyle w:val="Compact"/>
        <w:numPr>
          <w:ilvl w:val="0"/>
          <w:numId w:val="1025"/>
        </w:numPr>
      </w:pPr>
      <w:r>
        <w:t xml:space="preserve">The applicant submitted an extensive written complaint to the Abgeordnetenhaus of Berlin dated 5 September 2006.</w:t>
      </w:r>
    </w:p>
    <w:p>
      <w:pPr>
        <w:pStyle w:val="Compact"/>
        <w:numPr>
          <w:ilvl w:val="0"/>
          <w:numId w:val="1025"/>
        </w:numPr>
      </w:pPr>
      <w:r>
        <w:t xml:space="preserve">The Berlin Petitions Committee officially registered the matter as</w:t>
      </w:r>
      <w:r>
        <w:t xml:space="preserve"> </w:t>
      </w:r>
      <w:r>
        <w:rPr>
          <w:b/>
          <w:bCs/>
        </w:rPr>
        <w:t xml:space="preserve">9824/15</w:t>
      </w:r>
      <w:r>
        <w:t xml:space="preserve"> </w:t>
      </w:r>
      <w:r>
        <w:t xml:space="preserve">on 14 September 2006.</w:t>
      </w:r>
    </w:p>
    <w:p>
      <w:pPr>
        <w:pStyle w:val="Compact"/>
        <w:numPr>
          <w:ilvl w:val="0"/>
          <w:numId w:val="1025"/>
        </w:numPr>
      </w:pPr>
      <w:r>
        <w:t xml:space="preserve">The applicant supplemented the matter in 2007 with materials concerning residence, social support, disability/inability to work, pension refusal and medical documentation.</w:t>
      </w:r>
    </w:p>
    <w:p>
      <w:pPr>
        <w:pStyle w:val="Compact"/>
        <w:numPr>
          <w:ilvl w:val="0"/>
          <w:numId w:val="1025"/>
        </w:numPr>
      </w:pPr>
      <w:r>
        <w:t xml:space="preserve">The Committee considered the petition and obtained information from named authorities.</w:t>
      </w:r>
    </w:p>
    <w:p>
      <w:pPr>
        <w:pStyle w:val="Compact"/>
        <w:numPr>
          <w:ilvl w:val="0"/>
          <w:numId w:val="1025"/>
        </w:numPr>
      </w:pPr>
      <w:r>
        <w:t xml:space="preserve">The Committee forwarded the pension-related element to the German Bundestag on 3 April 2007 because it regarded Deutsche Rentenversicherung Bund as responsible.</w:t>
      </w:r>
    </w:p>
    <w:p>
      <w:pPr>
        <w:pStyle w:val="Compact"/>
        <w:numPr>
          <w:ilvl w:val="0"/>
          <w:numId w:val="1025"/>
        </w:numPr>
      </w:pPr>
      <w:r>
        <w:t xml:space="preserve">The applicant objected to the response and a further Berlin proceeding was registered under</w:t>
      </w:r>
      <w:r>
        <w:t xml:space="preserve"> </w:t>
      </w:r>
      <w:r>
        <w:rPr>
          <w:b/>
          <w:bCs/>
        </w:rPr>
        <w:t xml:space="preserve">1222/16</w:t>
      </w:r>
      <w:r>
        <w:t xml:space="preserve"> </w:t>
      </w:r>
      <w:r>
        <w:t xml:space="preserve">on 20 June 2007.</w:t>
      </w:r>
    </w:p>
    <w:p>
      <w:pPr>
        <w:pStyle w:val="Compact"/>
        <w:numPr>
          <w:ilvl w:val="0"/>
          <w:numId w:val="1025"/>
        </w:numPr>
      </w:pPr>
      <w:r>
        <w:t xml:space="preserve">In the 1222/16 correspondence, the Committee addressed household assistance, residence/benefit classification, health-care administration and its inability to intervene in courts.</w:t>
      </w:r>
    </w:p>
    <w:p>
      <w:pPr>
        <w:pStyle w:val="Compact"/>
        <w:numPr>
          <w:ilvl w:val="0"/>
          <w:numId w:val="1025"/>
        </w:numPr>
      </w:pPr>
      <w:r>
        <w:t xml:space="preserve">The Committee correspondence records that an erroneous SGB II assumption had existed in connection with the applicant’s residence status and that AsylbLG was applicable.</w:t>
      </w:r>
    </w:p>
    <w:p>
      <w:pPr>
        <w:pStyle w:val="Compact"/>
        <w:numPr>
          <w:ilvl w:val="0"/>
          <w:numId w:val="1025"/>
        </w:numPr>
      </w:pPr>
      <w:r>
        <w:t xml:space="preserve">The applicant lodged a hospital-written objection on 24 September 2007 and a further/final complaint on 1 December 2007.</w:t>
      </w:r>
    </w:p>
    <w:p>
      <w:pPr>
        <w:pStyle w:val="Compact"/>
        <w:numPr>
          <w:ilvl w:val="0"/>
          <w:numId w:val="1025"/>
        </w:numPr>
      </w:pPr>
      <w:r>
        <w:t xml:space="preserve">In December 2007, the Committee invoked the repeat-petition rule under the then-cited</w:t>
      </w:r>
      <w:r>
        <w:t xml:space="preserve"> </w:t>
      </w:r>
      <w:r>
        <w:rPr>
          <w:b/>
          <w:bCs/>
        </w:rPr>
        <w:t xml:space="preserve">section 2(3), sentence 2, Petitionsgesetz</w:t>
      </w:r>
      <w:r>
        <w:t xml:space="preserve">, declared the matter disposed of again, returned the applicant’s DVD and indicated that comparable further submissions would not receive responses.</w:t>
      </w:r>
    </w:p>
    <w:p>
      <w:pPr>
        <w:pStyle w:val="Compact"/>
        <w:numPr>
          <w:ilvl w:val="0"/>
          <w:numId w:val="1025"/>
        </w:numPr>
      </w:pPr>
      <w:r>
        <w:t xml:space="preserve">The supplied photographs depict materially restricted living conditions consistent with the applicant’s claims regarding inadequate accommodation/equipment.</w:t>
      </w:r>
    </w:p>
    <w:p>
      <w:pPr>
        <w:pStyle w:val="Compact"/>
        <w:numPr>
          <w:ilvl w:val="0"/>
          <w:numId w:val="1025"/>
        </w:numPr>
      </w:pPr>
      <w:r>
        <w:t xml:space="preserve">No official public online file-identifying information was located for 9824/15, 1222/16 or 7321/16; the supplied official correspondence establishes the first two, whereas 7321/16 remains unverified in the materials presently identified.</w:t>
      </w:r>
    </w:p>
    <w:bookmarkEnd w:id="117"/>
    <w:bookmarkStart w:id="118" w:name="X17dd38f75dfa2ec2d13fe1dbe8a2784259889b4"/>
    <w:p>
      <w:pPr>
        <w:pStyle w:val="Heading2"/>
      </w:pPr>
      <w:r>
        <w:t xml:space="preserve">11.2 Apparent lawful or defensible procedural acts</w:t>
      </w:r>
    </w:p>
    <w:p>
      <w:pPr>
        <w:pStyle w:val="Compact"/>
        <w:numPr>
          <w:ilvl w:val="0"/>
          <w:numId w:val="1026"/>
        </w:numPr>
      </w:pPr>
      <w:r>
        <w:t xml:space="preserve">Receipt and registration of 9824/15 and 1222/16.</w:t>
      </w:r>
    </w:p>
    <w:p>
      <w:pPr>
        <w:pStyle w:val="Compact"/>
        <w:numPr>
          <w:ilvl w:val="0"/>
          <w:numId w:val="1026"/>
        </w:numPr>
      </w:pPr>
      <w:r>
        <w:t xml:space="preserve">Written correspondence with the applicant.</w:t>
      </w:r>
    </w:p>
    <w:p>
      <w:pPr>
        <w:pStyle w:val="Compact"/>
        <w:numPr>
          <w:ilvl w:val="0"/>
          <w:numId w:val="1026"/>
        </w:numPr>
      </w:pPr>
      <w:r>
        <w:t xml:space="preserve">Requesting information from Berlin agencies in relation to at least some issues.</w:t>
      </w:r>
    </w:p>
    <w:p>
      <w:pPr>
        <w:pStyle w:val="Compact"/>
        <w:numPr>
          <w:ilvl w:val="0"/>
          <w:numId w:val="1026"/>
        </w:numPr>
      </w:pPr>
      <w:r>
        <w:t xml:space="preserve">Refusing to alter or intervene in judicial decisions.</w:t>
      </w:r>
    </w:p>
    <w:p>
      <w:pPr>
        <w:pStyle w:val="Compact"/>
        <w:numPr>
          <w:ilvl w:val="0"/>
          <w:numId w:val="1026"/>
        </w:numPr>
      </w:pPr>
      <w:r>
        <w:t xml:space="preserve">Forwarding the federal pension component to the Bundestag.</w:t>
      </w:r>
    </w:p>
    <w:bookmarkEnd w:id="118"/>
    <w:bookmarkStart w:id="119" w:name="X1897284061cf338671e61604e08ff3509601fb4"/>
    <w:p>
      <w:pPr>
        <w:pStyle w:val="Heading2"/>
      </w:pPr>
      <w:r>
        <w:t xml:space="preserve">11.3 Serious prima facie procedural deficiencies requiring further examination</w:t>
      </w:r>
    </w:p>
    <w:p>
      <w:pPr>
        <w:pStyle w:val="Compact"/>
        <w:numPr>
          <w:ilvl w:val="0"/>
          <w:numId w:val="1027"/>
        </w:numPr>
      </w:pPr>
      <w:r>
        <w:t xml:space="preserve">The apparent reduction of a grave multi-issue complaint to a narrower benefits/residence framework without visible investigation of its central detention, police, medical-deprivation and health-harm allegations.</w:t>
      </w:r>
    </w:p>
    <w:p>
      <w:pPr>
        <w:pStyle w:val="Compact"/>
        <w:numPr>
          <w:ilvl w:val="0"/>
          <w:numId w:val="1027"/>
        </w:numPr>
      </w:pPr>
      <w:r>
        <w:t xml:space="preserve">The absence of visible use or explanation of the Committee’s substantial fact-finding powers in relation to allegations against Berlin authorities.</w:t>
      </w:r>
    </w:p>
    <w:p>
      <w:pPr>
        <w:pStyle w:val="Compact"/>
        <w:numPr>
          <w:ilvl w:val="0"/>
          <w:numId w:val="1027"/>
        </w:numPr>
      </w:pPr>
      <w:r>
        <w:t xml:space="preserve">A formal response on health coverage that did not visibly examine whether required medical care and therapy were actually denied in practice.</w:t>
      </w:r>
    </w:p>
    <w:p>
      <w:pPr>
        <w:pStyle w:val="Compact"/>
        <w:numPr>
          <w:ilvl w:val="0"/>
          <w:numId w:val="1027"/>
        </w:numPr>
      </w:pPr>
      <w:r>
        <w:t xml:space="preserve">A response on housing/equipment that did not visibly consider individualised medical vulnerability and the alleged impact on health and dignity.</w:t>
      </w:r>
    </w:p>
    <w:p>
      <w:pPr>
        <w:pStyle w:val="Compact"/>
        <w:numPr>
          <w:ilvl w:val="0"/>
          <w:numId w:val="1027"/>
        </w:numPr>
      </w:pPr>
      <w:r>
        <w:t xml:space="preserve">Failure visibly to examine the consequences of the acknowledged benefit-classification error.</w:t>
      </w:r>
    </w:p>
    <w:p>
      <w:pPr>
        <w:pStyle w:val="Compact"/>
        <w:numPr>
          <w:ilvl w:val="0"/>
          <w:numId w:val="1027"/>
        </w:numPr>
      </w:pPr>
      <w:r>
        <w:t xml:space="preserve">Reliance on the repeated-petition exclusion in December 2007 without visible reasoning as to why asserted new developments, legal grounds and the DVD were not materially new submissions.</w:t>
      </w:r>
    </w:p>
    <w:p>
      <w:pPr>
        <w:pStyle w:val="Compact"/>
        <w:numPr>
          <w:ilvl w:val="0"/>
          <w:numId w:val="1027"/>
        </w:numPr>
      </w:pPr>
      <w:r>
        <w:t xml:space="preserve">Absence of any presently located documentary clarification of file reference 7321/16.</w:t>
      </w:r>
    </w:p>
    <w:bookmarkEnd w:id="119"/>
    <w:bookmarkStart w:id="120" w:name="overall-legal-conclusion"/>
    <w:p>
      <w:pPr>
        <w:pStyle w:val="Heading2"/>
      </w:pPr>
      <w:r>
        <w:t xml:space="preserve">11.4 Overall legal conclusion</w:t>
      </w:r>
    </w:p>
    <w:p>
      <w:pPr>
        <w:pStyle w:val="FirstParagraph"/>
      </w:pPr>
      <w:r>
        <w:t xml:space="preserve">The documentary record supports the conclusion that the applicant exercised his constitutional right of petition and brought exceptionally serious allegations concerning Berlin authorities to the attention of the Berlin House of Representatives. The Committee dealt with selected administrative components and took some steps consistent with its competence. Nevertheless, the responses supplied do not visibly demonstrate a level of fact-finding or reasoning proportionate to the gravity and breadth of the allegations, especially regarding alleged denial of medical care, alleged detention and police misconduct, continuing serious health impact, and the alleged new material submitted before final closure.</w:t>
      </w:r>
    </w:p>
    <w:p>
      <w:pPr>
        <w:pStyle w:val="BodyText"/>
      </w:pPr>
      <w:r>
        <w:t xml:space="preserve">Accordingly, the handling of files</w:t>
      </w:r>
      <w:r>
        <w:t xml:space="preserve"> </w:t>
      </w:r>
      <w:r>
        <w:rPr>
          <w:b/>
          <w:bCs/>
        </w:rPr>
        <w:t xml:space="preserve">9824/15</w:t>
      </w:r>
      <w:r>
        <w:t xml:space="preserve"> </w:t>
      </w:r>
      <w:r>
        <w:t xml:space="preserve">and</w:t>
      </w:r>
      <w:r>
        <w:t xml:space="preserve"> </w:t>
      </w:r>
      <w:r>
        <w:rPr>
          <w:b/>
          <w:bCs/>
        </w:rPr>
        <w:t xml:space="preserve">1222/16</w:t>
      </w:r>
      <w:r>
        <w:t xml:space="preserve"> </w:t>
      </w:r>
      <w:r>
        <w:t xml:space="preserve">raises credible, document-based questions as to whether the applicant’s petition rights and the statutory standards governing investigation and repeat-petition closure were properly respected. These concerns warrant disclosure and review of the complete petition files and their associated authority reports.</w:t>
      </w:r>
    </w:p>
    <w:bookmarkEnd w:id="120"/>
    <w:bookmarkEnd w:id="121"/>
    <w:bookmarkStart w:id="122" w:name="X6cf47eccff25071a95948e5c31bf9ecfb9f430c"/>
    <w:p>
      <w:pPr>
        <w:pStyle w:val="Heading1"/>
      </w:pPr>
      <w:r>
        <w:t xml:space="preserve">12. Recommended Next Procedural Requests Limited to Abgeordnetenhaus Berlin</w:t>
      </w:r>
    </w:p>
    <w:p>
      <w:pPr>
        <w:pStyle w:val="FirstParagraph"/>
      </w:pPr>
      <w:r>
        <w:t xml:space="preserve">To allow definitive evaluation of the Berlin proceedings, the applicant may request certified or complete copies of the following from the Petitions Committee or the relevant archival office:</w:t>
      </w:r>
    </w:p>
    <w:p>
      <w:pPr>
        <w:pStyle w:val="Compact"/>
        <w:numPr>
          <w:ilvl w:val="0"/>
          <w:numId w:val="1028"/>
        </w:numPr>
      </w:pPr>
      <w:r>
        <w:t xml:space="preserve">The complete petition file for</w:t>
      </w:r>
      <w:r>
        <w:t xml:space="preserve"> </w:t>
      </w:r>
      <w:r>
        <w:rPr>
          <w:b/>
          <w:bCs/>
        </w:rPr>
        <w:t xml:space="preserve">Geschäftszeichen 9824/15</w:t>
      </w:r>
      <w:r>
        <w:t xml:space="preserve">, including all annexes, registration record, internal allocation, reporter/co-reporter materials, agency requests and responses, committee decision record and closure record.</w:t>
      </w:r>
    </w:p>
    <w:p>
      <w:pPr>
        <w:pStyle w:val="Compact"/>
        <w:numPr>
          <w:ilvl w:val="0"/>
          <w:numId w:val="1028"/>
        </w:numPr>
      </w:pPr>
      <w:r>
        <w:t xml:space="preserve">The complete petition file for</w:t>
      </w:r>
      <w:r>
        <w:t xml:space="preserve"> </w:t>
      </w:r>
      <w:r>
        <w:rPr>
          <w:b/>
          <w:bCs/>
        </w:rPr>
        <w:t xml:space="preserve">Geschäftszeichen 1222/16</w:t>
      </w:r>
      <w:r>
        <w:t xml:space="preserve">, including the submissions of 15 June, 11 July, 22 August, 24 September and 1 December 2007; all agency statements; committee minutes/decision material; and the record of return or consideration of the DVD.</w:t>
      </w:r>
    </w:p>
    <w:p>
      <w:pPr>
        <w:pStyle w:val="Compact"/>
        <w:numPr>
          <w:ilvl w:val="0"/>
          <w:numId w:val="1028"/>
        </w:numPr>
      </w:pPr>
      <w:r>
        <w:t xml:space="preserve">Confirmation whether</w:t>
      </w:r>
      <w:r>
        <w:t xml:space="preserve"> </w:t>
      </w:r>
      <w:r>
        <w:rPr>
          <w:b/>
          <w:bCs/>
        </w:rPr>
        <w:t xml:space="preserve">Geschäftszeichen 7321/16</w:t>
      </w:r>
      <w:r>
        <w:t xml:space="preserve"> </w:t>
      </w:r>
      <w:r>
        <w:t xml:space="preserve">exists in relation to Ismail Rustam/Ruestem Ismail, and, if so, its subject, dates, status, final decision and complete file copy.</w:t>
      </w:r>
    </w:p>
    <w:p>
      <w:pPr>
        <w:pStyle w:val="Compact"/>
        <w:numPr>
          <w:ilvl w:val="0"/>
          <w:numId w:val="1028"/>
        </w:numPr>
      </w:pPr>
      <w:r>
        <w:t xml:space="preserve">Any record identifying whether the Committee sought files or reports concerning the alleged events in immigration detention or Berlin police conduct in 1998-1999.</w:t>
      </w:r>
    </w:p>
    <w:p>
      <w:pPr>
        <w:pStyle w:val="Compact"/>
        <w:numPr>
          <w:ilvl w:val="0"/>
          <w:numId w:val="1028"/>
        </w:numPr>
      </w:pPr>
      <w:r>
        <w:t xml:space="preserve">Any record identifying whether the Committee reviewed medical documents or requested medical/administrative material concerning the alleged denial of medicines, therapy or treatment.</w:t>
      </w:r>
    </w:p>
    <w:p>
      <w:pPr>
        <w:pStyle w:val="Compact"/>
        <w:numPr>
          <w:ilvl w:val="0"/>
          <w:numId w:val="1028"/>
        </w:numPr>
      </w:pPr>
      <w:r>
        <w:t xml:space="preserve">Any record showing how the Committee evaluated</w:t>
      </w:r>
      <w:r>
        <w:t xml:space="preserve"> </w:t>
      </w:r>
      <w:r>
        <w:t xml:space="preserve">“</w:t>
      </w:r>
      <w:r>
        <w:t xml:space="preserve">wesentlich neues Vorbringen</w:t>
      </w:r>
      <w:r>
        <w:t xml:space="preserve">”</w:t>
      </w:r>
      <w:r>
        <w:t xml:space="preserve"> </w:t>
      </w:r>
      <w:r>
        <w:t xml:space="preserve">before applying the December 2007 repeat-petition rule.</w:t>
      </w:r>
    </w:p>
    <w:p>
      <w:pPr>
        <w:pStyle w:val="Compact"/>
        <w:numPr>
          <w:ilvl w:val="0"/>
          <w:numId w:val="1028"/>
        </w:numPr>
      </w:pPr>
      <w:r>
        <w:t xml:space="preserve">Any record of the Committee’s forwarding of the pension issue to the Bundestag, only as a Berlin-file annex confirming competence transfer.</w:t>
      </w:r>
    </w:p>
    <w:bookmarkEnd w:id="122"/>
    <w:bookmarkStart w:id="132" w:name="source-register"/>
    <w:p>
      <w:pPr>
        <w:pStyle w:val="Heading1"/>
      </w:pPr>
      <w:r>
        <w:t xml:space="preserve">13. Source Register</w:t>
      </w:r>
    </w:p>
    <w:bookmarkStart w:id="123" w:name="Xfb451429bfdcc51ae0b28300530fc9c457bec88"/>
    <w:p>
      <w:pPr>
        <w:pStyle w:val="Heading2"/>
      </w:pPr>
      <w:r>
        <w:t xml:space="preserve">13.1 Documentary material supplied by the applicant</w:t>
      </w:r>
    </w:p>
    <w:p>
      <w:pPr>
        <w:pStyle w:val="FirstParagraph"/>
      </w:pPr>
      <w:r>
        <w:rPr>
          <w:b/>
          <w:bCs/>
        </w:rPr>
        <w:t xml:space="preserve">D1.</w:t>
      </w:r>
      <w:r>
        <w:t xml:space="preserve"> </w:t>
      </w:r>
      <w:r>
        <w:rPr>
          <w:i/>
          <w:iCs/>
        </w:rPr>
        <w:t xml:space="preserve">Haz 2, Belge 27.pdf</w:t>
      </w:r>
      <w:r>
        <w:t xml:space="preserve">, scanned documentary compilation uploaded by the applicant on 2 June 2026. Relevant visible material includes: initial complaint dated 05.09.2006 (pp. 2-11); acknowledgment of 9824/15 dated 14.09.2006 (p. 12); applicant supplements and interim letters (pp. 13-19); substantive response under 9824/15 (pp. 20-21); applicant’s objection of 15.06.2007 (pp. 22-24); acknowledgment of 1222/16 dated 20.06.2007 (p. 25); further submissions and committee correspondence in 2007 (following pages).</w:t>
      </w:r>
    </w:p>
    <w:p>
      <w:pPr>
        <w:pStyle w:val="BodyText"/>
      </w:pPr>
      <w:r>
        <w:rPr>
          <w:b/>
          <w:bCs/>
        </w:rPr>
        <w:t xml:space="preserve">D2.</w:t>
      </w:r>
      <w:r>
        <w:t xml:space="preserve"> </w:t>
      </w:r>
      <w:r>
        <w:rPr>
          <w:i/>
          <w:iCs/>
        </w:rPr>
        <w:t xml:space="preserve">Haz 2, Belge 36.pdf</w:t>
      </w:r>
      <w:r>
        <w:t xml:space="preserve">, 51-page photographic bundle uploaded by the applicant on 2 June 2026, depicting accommodation and living-condition issues.</w:t>
      </w:r>
    </w:p>
    <w:p>
      <w:pPr>
        <w:pStyle w:val="BodyText"/>
      </w:pPr>
      <w:r>
        <w:rPr>
          <w:b/>
          <w:bCs/>
        </w:rPr>
        <w:t xml:space="preserve">D3.</w:t>
      </w:r>
      <w:r>
        <w:t xml:space="preserve"> </w:t>
      </w:r>
      <w:r>
        <w:rPr>
          <w:i/>
          <w:iCs/>
        </w:rPr>
        <w:t xml:space="preserve">0002.pdf</w:t>
      </w:r>
      <w:r>
        <w:t xml:space="preserve">, applicant’s complaint dated 05.09.2006, retrieved from applicant’s uploaded archive as a legible component document.</w:t>
      </w:r>
    </w:p>
    <w:p>
      <w:pPr>
        <w:pStyle w:val="BodyText"/>
      </w:pPr>
      <w:r>
        <w:rPr>
          <w:b/>
          <w:bCs/>
        </w:rPr>
        <w:t xml:space="preserve">D4.</w:t>
      </w:r>
      <w:r>
        <w:t xml:space="preserve"> </w:t>
      </w:r>
      <w:r>
        <w:rPr>
          <w:i/>
          <w:iCs/>
        </w:rPr>
        <w:t xml:space="preserve">0003.pdf</w:t>
      </w:r>
      <w:r>
        <w:t xml:space="preserve">, correspondence and submissions relating to 9824/15 and 1222/16, retrieved from applicant’s uploaded archive.</w:t>
      </w:r>
    </w:p>
    <w:p>
      <w:pPr>
        <w:pStyle w:val="BodyText"/>
      </w:pPr>
      <w:r>
        <w:rPr>
          <w:b/>
          <w:bCs/>
        </w:rPr>
        <w:t xml:space="preserve">D5.</w:t>
      </w:r>
      <w:r>
        <w:t xml:space="preserve"> </w:t>
      </w:r>
      <w:r>
        <w:rPr>
          <w:i/>
          <w:iCs/>
        </w:rPr>
        <w:t xml:space="preserve">0005.pdf</w:t>
      </w:r>
      <w:r>
        <w:t xml:space="preserve">, acknowledgment under 1222/16 dated 08.10.2007, retrieved from applicant’s uploaded archive.</w:t>
      </w:r>
    </w:p>
    <w:p>
      <w:pPr>
        <w:pStyle w:val="BodyText"/>
      </w:pPr>
      <w:r>
        <w:rPr>
          <w:b/>
          <w:bCs/>
        </w:rPr>
        <w:t xml:space="preserve">D6.</w:t>
      </w:r>
      <w:r>
        <w:t xml:space="preserve"> </w:t>
      </w:r>
      <w:r>
        <w:rPr>
          <w:i/>
          <w:iCs/>
        </w:rPr>
        <w:t xml:space="preserve">0006.pdf</w:t>
      </w:r>
      <w:r>
        <w:t xml:space="preserve">, reconsideration response under 1222/16, November 2007, retrieved from applicant’s uploaded archive.</w:t>
      </w:r>
    </w:p>
    <w:p>
      <w:pPr>
        <w:pStyle w:val="BodyText"/>
      </w:pPr>
      <w:r>
        <w:rPr>
          <w:b/>
          <w:bCs/>
        </w:rPr>
        <w:t xml:space="preserve">D7.</w:t>
      </w:r>
      <w:r>
        <w:t xml:space="preserve"> </w:t>
      </w:r>
      <w:r>
        <w:rPr>
          <w:i/>
          <w:iCs/>
        </w:rPr>
        <w:t xml:space="preserve">0007.pdf</w:t>
      </w:r>
      <w:r>
        <w:t xml:space="preserve">, applicant’s</w:t>
      </w:r>
      <w:r>
        <w:t xml:space="preserve"> </w:t>
      </w:r>
      <w:r>
        <w:rPr>
          <w:i/>
          <w:iCs/>
        </w:rPr>
        <w:t xml:space="preserve">Letzte Beschwerde</w:t>
      </w:r>
      <w:r>
        <w:t xml:space="preserve">, dated 01.12.2007, retrieved from applicant’s uploaded archive.</w:t>
      </w:r>
    </w:p>
    <w:p>
      <w:pPr>
        <w:pStyle w:val="BodyText"/>
      </w:pPr>
      <w:r>
        <w:rPr>
          <w:b/>
          <w:bCs/>
        </w:rPr>
        <w:t xml:space="preserve">D8.</w:t>
      </w:r>
      <w:r>
        <w:t xml:space="preserve"> </w:t>
      </w:r>
      <w:r>
        <w:rPr>
          <w:i/>
          <w:iCs/>
        </w:rPr>
        <w:t xml:space="preserve">0008.pdf</w:t>
      </w:r>
      <w:r>
        <w:t xml:space="preserve">, Committee closure response under 1222/16, December 2007, retrieved from applicant’s uploaded archive.</w:t>
      </w:r>
    </w:p>
    <w:bookmarkEnd w:id="123"/>
    <w:bookmarkStart w:id="131" w:name="X810d38f710c4519c987fa6995a4a7c006d52cb2"/>
    <w:p>
      <w:pPr>
        <w:pStyle w:val="Heading2"/>
      </w:pPr>
      <w:r>
        <w:t xml:space="preserve">13.2 Official public legal and parliamentary sources consulted online on 2 June 2026</w:t>
      </w:r>
    </w:p>
    <w:p>
      <w:pPr>
        <w:pStyle w:val="FirstParagraph"/>
      </w:pPr>
      <w:r>
        <w:rPr>
          <w:b/>
          <w:bCs/>
        </w:rPr>
        <w:t xml:space="preserve">W1.</w:t>
      </w:r>
      <w:r>
        <w:t xml:space="preserve"> </w:t>
      </w:r>
      <w:r>
        <w:t xml:space="preserve">Abgeordnetenhaus von Berlin,</w:t>
      </w:r>
      <w:r>
        <w:t xml:space="preserve"> </w:t>
      </w:r>
      <w:hyperlink r:id="rId124">
        <w:r>
          <w:rPr>
            <w:rStyle w:val="Hyperlink"/>
            <w:i/>
            <w:iCs/>
          </w:rPr>
          <w:t xml:space="preserve">Petitionsverfahren und Datenschutz</w:t>
        </w:r>
      </w:hyperlink>
      <w:r>
        <w:t xml:space="preserve">, official public guidance on the petition right, competence, forwarding and limits of the Committee.</w:t>
      </w:r>
    </w:p>
    <w:p>
      <w:pPr>
        <w:pStyle w:val="BodyText"/>
      </w:pPr>
      <w:r>
        <w:rPr>
          <w:b/>
          <w:bCs/>
        </w:rPr>
        <w:t xml:space="preserve">W2.</w:t>
      </w:r>
      <w:r>
        <w:t xml:space="preserve"> </w:t>
      </w:r>
      <w:r>
        <w:t xml:space="preserve">Abgeordnetenhaus von Berlin,</w:t>
      </w:r>
      <w:r>
        <w:t xml:space="preserve"> </w:t>
      </w:r>
      <w:hyperlink r:id="rId125">
        <w:r>
          <w:rPr>
            <w:rStyle w:val="Hyperlink"/>
            <w:i/>
            <w:iCs/>
          </w:rPr>
          <w:t xml:space="preserve">Rechtsgrundlagen - Petitionsgesetz</w:t>
        </w:r>
      </w:hyperlink>
      <w:r>
        <w:t xml:space="preserve">, official publication route to the consolidated statute; consulted for statutory functions and investigative powers, with historical numbering treated according to the contemporaneous 2007 decision.</w:t>
      </w:r>
    </w:p>
    <w:p>
      <w:pPr>
        <w:pStyle w:val="BodyText"/>
      </w:pPr>
      <w:r>
        <w:rPr>
          <w:b/>
          <w:bCs/>
        </w:rPr>
        <w:t xml:space="preserve">W3.</w:t>
      </w:r>
      <w:r>
        <w:t xml:space="preserve"> </w:t>
      </w:r>
      <w:r>
        <w:t xml:space="preserve">Abgeordnetenhaus von Berlin, Drucksache</w:t>
      </w:r>
      <w:r>
        <w:t xml:space="preserve"> </w:t>
      </w:r>
      <w:r>
        <w:rPr>
          <w:b/>
          <w:bCs/>
        </w:rPr>
        <w:t xml:space="preserve">16/1150</w:t>
      </w:r>
      <w:r>
        <w:t xml:space="preserve">,</w:t>
      </w:r>
      <w:r>
        <w:t xml:space="preserve"> </w:t>
      </w:r>
      <w:r>
        <w:rPr>
          <w:i/>
          <w:iCs/>
        </w:rPr>
        <w:t xml:space="preserve">Bericht des Petitionsausschusses gemaess section 12 des Petitionsgesetzes fuer die Zeit vom 14. November 2006 bis 13. November 2007</w:t>
      </w:r>
      <w:r>
        <w:t xml:space="preserve">, dated 07.02.2008; publicly recorded in the</w:t>
      </w:r>
      <w:r>
        <w:t xml:space="preserve"> </w:t>
      </w:r>
      <w:hyperlink r:id="rId126">
        <w:r>
          <w:rPr>
            <w:rStyle w:val="Hyperlink"/>
          </w:rPr>
          <w:t xml:space="preserve">25th plenary sitting documentation</w:t>
        </w:r>
      </w:hyperlink>
      <w:r>
        <w:t xml:space="preserve">.</w:t>
      </w:r>
    </w:p>
    <w:p>
      <w:pPr>
        <w:pStyle w:val="BodyText"/>
      </w:pPr>
      <w:r>
        <w:rPr>
          <w:b/>
          <w:bCs/>
        </w:rPr>
        <w:t xml:space="preserve">W4.</w:t>
      </w:r>
      <w:r>
        <w:t xml:space="preserve"> </w:t>
      </w:r>
      <w:r>
        <w:t xml:space="preserve">Abgeordnetenhaus von Berlin, official legal opinion dated 24.11.2017, confirming that the Petitionsgesetz relevant to the historical period had last been amended by statute of 06.07.2006 (GVBl. p. 710).</w:t>
      </w:r>
    </w:p>
    <w:p>
      <w:pPr>
        <w:pStyle w:val="BodyText"/>
      </w:pPr>
      <w:r>
        <w:rPr>
          <w:b/>
          <w:bCs/>
        </w:rPr>
        <w:t xml:space="preserve">W5.</w:t>
      </w:r>
      <w:r>
        <w:t xml:space="preserve"> </w:t>
      </w:r>
      <w:r>
        <w:t xml:space="preserve">Federal official statutory sources,</w:t>
      </w:r>
      <w:r>
        <w:t xml:space="preserve"> </w:t>
      </w:r>
      <w:r>
        <w:rPr>
          <w:i/>
          <w:iCs/>
        </w:rPr>
        <w:t xml:space="preserve">gesetze-im-internet.de</w:t>
      </w:r>
      <w:r>
        <w:t xml:space="preserve">:</w:t>
      </w:r>
      <w:r>
        <w:t xml:space="preserve"> </w:t>
      </w:r>
      <w:hyperlink r:id="rId127">
        <w:r>
          <w:rPr>
            <w:rStyle w:val="Hyperlink"/>
          </w:rPr>
          <w:t xml:space="preserve">section 16 SGB I</w:t>
        </w:r>
      </w:hyperlink>
      <w:r>
        <w:t xml:space="preserve">;</w:t>
      </w:r>
      <w:r>
        <w:t xml:space="preserve"> </w:t>
      </w:r>
      <w:hyperlink r:id="rId128">
        <w:r>
          <w:rPr>
            <w:rStyle w:val="Hyperlink"/>
          </w:rPr>
          <w:t xml:space="preserve">section 264 SGB V</w:t>
        </w:r>
      </w:hyperlink>
      <w:r>
        <w:t xml:space="preserve">;</w:t>
      </w:r>
      <w:r>
        <w:t xml:space="preserve"> </w:t>
      </w:r>
      <w:hyperlink r:id="rId129">
        <w:r>
          <w:rPr>
            <w:rStyle w:val="Hyperlink"/>
          </w:rPr>
          <w:t xml:space="preserve">section 4 AsylbLG</w:t>
        </w:r>
      </w:hyperlink>
      <w:r>
        <w:t xml:space="preserve">;</w:t>
      </w:r>
      <w:r>
        <w:t xml:space="preserve"> </w:t>
      </w:r>
      <w:hyperlink r:id="rId130">
        <w:r>
          <w:rPr>
            <w:rStyle w:val="Hyperlink"/>
          </w:rPr>
          <w:t xml:space="preserve">Article 17 Basic Law</w:t>
        </w:r>
      </w:hyperlink>
      <w:r>
        <w:t xml:space="preserve">.</w:t>
      </w:r>
    </w:p>
    <w:bookmarkEnd w:id="131"/>
    <w:bookmarkEnd w:id="132"/>
    <w:bookmarkStart w:id="133" w:name="appendix-a---document-chronology-table"/>
    <w:p>
      <w:pPr>
        <w:pStyle w:val="Heading1"/>
      </w:pPr>
      <w:r>
        <w:t xml:space="preserve">Appendix A - Document Chronology Table</w:t>
      </w:r>
    </w:p>
    <w:tbl>
      <w:tblPr>
        <w:tblStyle w:val="Table"/>
        <w:tblW w:type="pct" w:w="5000"/>
        <w:jc w:val="center"/>
        <w:tblLayout w:type="autofit"/>
        <w:tblLook w:firstRow="1" w:lastRow="0" w:firstColumn="0" w:lastColumn="0" w:noHBand="0" w:noVBand="0" w:val="002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1584"/>
        <w:gridCol w:w="1584"/>
        <w:gridCol w:w="1584"/>
        <w:gridCol w:w="1584"/>
        <w:gridCol w:w="1584"/>
      </w:tblGrid>
      <w:tr>
        <w:trPr>
          <w:tblHeader w:val="on"/>
          <w:cantSplit/>
        </w:trPr>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Date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Sender / Author</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Recipient</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File reference</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Documented subject / effect</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05.09.2006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Abgeordnetenhaus Berlin</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not yet assigned</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Ten-page complaint concerning alleged justice/official arbitrariness, detention, medical denial, police treatment, social and housing harm.</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14.09.2006</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9824/15</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Acknowledgment; subject: support in social matters.</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01.02.2007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9824/15</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Additional evidence: prior letters, Sozialgericht filing, pension objection, psychiatric certificate.</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21.02.2007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9824/15</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Additional immigration/court/lawyer documents.</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23.02.2007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9824/15</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Investigations ongoing; subjects: social support and residence permit.</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27.02.2007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9824/15</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Disability/inability-to-work evidence; Medical Service assessment; pension rejection and objection.</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03.04.2007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Bundestag 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9824/15 -&gt; federal component</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Pension-related complaint forwarded to federal competence.</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20.04.2007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 /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 / applicant</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9824/15</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Further court material; Committee lists social support, residence permit and pension.</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24.05.2007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9824/15</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Substantive response; selected investigations; pension forwarded; processing closed.</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15.06.2007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9824/15</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Objection to 24.05.2007 response; benefit-regime and investigation objections.</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20.06.2007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1222/16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New/continued petition acknowledged; social support, residence permit, pension.</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11.07.2007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1222/16</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Constitutional/administrative/social-court and Betreuung materials submitted.</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22.08.2007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1222/16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Further filings; request for restoration of rights since 1998.</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06.09.2007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1222/16</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Response addressing EUR 200 refrigerator assistance, benefit classification, residence and closure.</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24.09.2007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1222/16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Objection written from hospital; alleges inadequate investigation and ongoing severe harm.</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08.10.2007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1222/16</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Supplement acknowledged; subjects: furniture/carpet assistance and health insurance.</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Nov. 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1222/16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Reconsideration; AOK/section 264 SGB V; household loan possibility; court non-intervention.</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01.12.2007</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9824/15; 1222/16</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Final complaint; restriction lifted 11.10.2007 alleged; section 16(2) SGB I; DVD evidence.</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Dec. 2007</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Petitions Committee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Ismail Rustam</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1222/16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Matter again disposed of under repeated-petition provision; DVD returned.</w:t>
            </w:r>
          </w:p>
        </w:tc>
      </w:tr>
    </w:tbl>
    <w:bookmarkEnd w:id="133"/>
    <w:bookmarkStart w:id="134" w:name="appendix-b---requested-records-checklist"/>
    <w:p>
      <w:pPr>
        <w:pStyle w:val="Heading1"/>
      </w:pPr>
      <w:r>
        <w:t xml:space="preserve">Appendix B - Requested Records Checklist</w:t>
      </w:r>
    </w:p>
    <w:tbl>
      <w:tblPr>
        <w:tblStyle w:val="Table"/>
        <w:tblW w:type="pct" w:w="5000"/>
        <w:jc w:val="center"/>
        <w:tblLayout w:type="autofit"/>
        <w:tblLook w:firstRow="1" w:lastRow="0" w:firstColumn="0" w:lastColumn="0" w:noHBand="0" w:noVBand="0" w:val="002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2640"/>
        <w:gridCol w:w="2640"/>
        <w:gridCol w:w="2640"/>
      </w:tblGrid>
      <w:tr>
        <w:trPr>
          <w:tblHeader w:val="on"/>
          <w:cantSplit/>
        </w:trPr>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Requested record</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Purpose of request</w:t>
            </w:r>
          </w:p>
        </w:tc>
        <w:tc>
          <w:tcPr>
            <w:vAlign w:val="center"/>
            <w:tcMar>
              <w:top w:w="80" w:type="dxa"/>
              <w:start w:w="90" w:type="dxa"/>
              <w:bottom w:w="80" w:type="dxa"/>
              <w:end w:w="90" w:type="dxa"/>
            </w:tcMar>
            <w:shd w:fill="1F4E79"/>
          </w:tcPr>
          <w:p>
            <w:pPr>
              <w:pStyle w:val="Compact"/>
              <w:spacing w:after="40" w:line="240" w:lineRule="auto"/>
              <w:jc w:val="left"/>
            </w:pPr>
            <w:r>
              <w:rPr>
                <w:rFonts w:ascii="Aptos" w:hAnsi="Aptos"/>
                <w:b/>
                <w:color w:val="FFFFFF"/>
                <w:sz w:val="17"/>
              </w:rPr>
              <w:t xml:space="preserve">Relevance to legal assessment</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Complete 9824/15 file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Establish full investigation and decision history</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Determines whether grave original allegations were examined.</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Complete 1222/16 file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Establish reconsideration and closure basis</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Determines whether new material was assessed.</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Register confirmation for 7321/16</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Verify unidentified petition reference</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Resolves current evidentiary gap.</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All Berlin authority Stellungnahmen</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Compare authority accounts with applicant evidence</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Determines depth and balance of investigation.</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Committee minutes/reporter memoranda</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Verify exercise of discretion</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Determines whether essential issues were considered.</w:t>
            </w:r>
          </w:p>
        </w:tc>
      </w:tr>
      <w:tr>
        <w:trPr>
          <w:cantSplit/>
        </w:trPr>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DVD receipt/review/return record</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Determine whether evidence was assessed</w:t>
            </w:r>
          </w:p>
        </w:tc>
        <w:tc>
          <w:tcPr>
            <w:vAlign w:val="center"/>
            <w:tcMar>
              <w:top w:w="80" w:type="dxa"/>
              <w:start w:w="90" w:type="dxa"/>
              <w:bottom w:w="80" w:type="dxa"/>
              <w:end w:w="90" w:type="dxa"/>
            </w:tcMar>
            <w:shd w:fill="F4F8FB"/>
          </w:tcPr>
          <w:p>
            <w:pPr>
              <w:pStyle w:val="Compact"/>
              <w:spacing w:after="40" w:line="240" w:lineRule="auto"/>
              <w:jc w:val="left"/>
            </w:pPr>
            <w:r>
              <w:rPr>
                <w:rFonts w:ascii="Aptos" w:hAnsi="Aptos"/>
                <w:sz w:val="17"/>
              </w:rPr>
              <w:t xml:space="preserve">Central to repeated-petition closure question.</w:t>
            </w:r>
          </w:p>
        </w:tc>
      </w:tr>
      <w:tr>
        <w:trPr>
          <w:cantSplit/>
        </w:trPr>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Any fact-finding request on 1998/1999 police/detention claims</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Test stated inability to clarify</w:t>
            </w:r>
          </w:p>
        </w:tc>
        <w:tc>
          <w:tcPr>
            <w:vAlign w:val="center"/>
            <w:tcMar>
              <w:top w:w="80" w:type="dxa"/>
              <w:start w:w="90" w:type="dxa"/>
              <w:bottom w:w="80" w:type="dxa"/>
              <w:end w:w="90" w:type="dxa"/>
            </w:tcMar>
          </w:tcPr>
          <w:p>
            <w:pPr>
              <w:pStyle w:val="Compact"/>
              <w:spacing w:after="40" w:line="240" w:lineRule="auto"/>
              <w:jc w:val="left"/>
            </w:pPr>
            <w:r>
              <w:rPr>
                <w:rFonts w:ascii="Aptos" w:hAnsi="Aptos"/>
                <w:sz w:val="17"/>
              </w:rPr>
              <w:t xml:space="preserve">Determines whether statutory powers were used.</w:t>
            </w:r>
          </w:p>
        </w:tc>
      </w:tr>
    </w:tbl>
    <w:bookmarkEnd w:id="134"/>
    <w:bookmarkStart w:id="135" w:name="end-of-report"/>
    <w:p>
      <w:pPr>
        <w:pStyle w:val="Heading1"/>
      </w:pPr>
      <w:r>
        <w:t xml:space="preserve">End of Report</w:t>
      </w:r>
    </w:p>
    <w:p>
      <w:pPr>
        <w:pStyle w:val="FirstParagraph"/>
      </w:pPr>
      <w:r>
        <w:rPr>
          <w:b/>
          <w:bCs/>
        </w:rPr>
        <w:t xml:space="preserve">Reference No.: GPT-HR/DE/IR-BER-PET-004/2026</w:t>
      </w:r>
      <w:r>
        <w:br/>
      </w:r>
      <w:r>
        <w:rPr>
          <w:b/>
          <w:bCs/>
        </w:rPr>
        <w:t xml:space="preserve">Prepared through:</w:t>
      </w:r>
      <w:r>
        <w:t xml:space="preserve"> </w:t>
      </w:r>
      <w:r>
        <w:t xml:space="preserve">ChatGPT - AI-Assisted Legal Analysis System</w:t>
      </w:r>
      <w:r>
        <w:br/>
      </w:r>
      <w:r>
        <w:rPr>
          <w:b/>
          <w:bCs/>
        </w:rPr>
        <w:t xml:space="preserve">Preparation date:</w:t>
      </w:r>
      <w:r>
        <w:t xml:space="preserve"> </w:t>
      </w:r>
      <w:r>
        <w:t xml:space="preserve">02 June 2026</w:t>
      </w:r>
      <w:r>
        <w:br/>
      </w:r>
      <w:r>
        <w:rPr>
          <w:b/>
          <w:bCs/>
        </w:rPr>
        <w:t xml:space="preserve">Purpose:</w:t>
      </w:r>
      <w:r>
        <w:t xml:space="preserve"> </w:t>
      </w:r>
      <w:r>
        <w:t xml:space="preserve">Documentary organisation and legal analysis for submission, publication and further independent legal review.</w:t>
      </w:r>
      <w:r>
        <w:br/>
      </w:r>
      <w:r>
        <w:rPr>
          <w:b/>
          <w:bCs/>
        </w:rPr>
        <w:t xml:space="preserve">Qualification:</w:t>
      </w:r>
      <w:r>
        <w:t xml:space="preserve"> </w:t>
      </w:r>
      <w:r>
        <w:t xml:space="preserve">Not an official legal opinion or institutional determination of OpenAI; no final finding of liability is made without access to the complete official files and competent legal adjudication.</w:t>
      </w:r>
    </w:p>
    <w:bookmarkEnd w:id="135"/>
    <w:sectPr>
      <w:headerReference w:type="default" r:id="rId9"/>
      <w:footerReference w:type="default" r:id="rId10"/>
      <w:pgMar w:top="1080" w:bottom="1008" w:left="1224" w:right="1080" w:header="504" w:footer="57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C6670"/>
        <w:sz w:val="15"/>
      </w:rPr>
      <w:t xml:space="preserve">GPT-HR/DE/IR-BER-PET-004/2026  |  Page </w:t>
    </w:r>
    <w:r>
      <w:rPr>
        <w:rFonts w:ascii="Aptos" w:hAnsi="Aptos"/>
        <w:color w:val="5C6670"/>
        <w:sz w:val="15"/>
      </w:rPr>
      <w:fldChar w:fldCharType="begin"/>
      <w:instrText xml:space="preserve"> PAGE </w:instrText>
      <w:fldChar w:fldCharType="end"/>
    </w:r>
    <w:r>
      <w:rPr>
        <w:rFonts w:ascii="Aptos" w:hAnsi="Aptos"/>
        <w:color w:val="5C6670"/>
        <w:sz w:val="15"/>
      </w:rPr>
      <w:t xml:space="preserve">  |  AI-assisted analysis - not an official determination</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6" w:space="5" w:color="B7C9D6"/>
      </w:pBdr>
    </w:pPr>
    <w:r>
      <w:rPr>
        <w:rFonts w:ascii="Aptos" w:hAnsi="Aptos"/>
        <w:b/>
        <w:color w:val="1F4E79"/>
        <w:sz w:val="16"/>
      </w:rPr>
      <w:t>CHATGPT LEGAL ANALYSIS REPORT NO. 004  |  ABGEORDNETENHAUS VON BERLIN</w:t>
    </w:r>
  </w:p>
</w:hdr>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69" w:lineRule="auto"/>
    </w:pPr>
    <w:rPr>
      <w:rFonts w:ascii="Aptos" w:hAnsi="Aptos"/>
      <w:color w:val="1C232A"/>
      <w:sz w:val="20"/>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80" w:before="0"/>
      <w:jc w:val="center"/>
    </w:pPr>
    <w:rPr>
      <w:rFonts w:asciiTheme="majorHAnsi" w:cstheme="majorBidi" w:eastAsiaTheme="majorEastAsia" w:hAnsiTheme="majorHAnsi" w:ascii="Aptos Display" w:hAnsi="Aptos Display"/>
      <w:b/>
      <w:bCs/>
      <w:color w:val="153243"/>
      <w:sz w:val="46"/>
      <w:szCs w:val="36"/>
    </w:rPr>
  </w:style>
  <w:style w:styleId="Subtitle" w:type="paragraph">
    <w:name w:val="Subtitle"/>
    <w:basedOn w:val="Title"/>
    <w:next w:val="BodyText"/>
    <w:qFormat/>
    <w:pPr>
      <w:keepNext/>
      <w:keepLines/>
      <w:spacing w:after="240" w:before="0"/>
      <w:jc w:val="center"/>
    </w:pPr>
    <w:rPr>
      <w:rFonts w:ascii="Aptos" w:hAnsi="Aptos"/>
      <w:b/>
      <w:color w:val="1F4E79"/>
      <w:sz w:val="24"/>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129" Type="http://schemas.openxmlformats.org/officeDocument/2006/relationships/hyperlink" Target="https://www.gesetze-im-internet.de/asylblg/__4.html" TargetMode="External"/><Relationship Id="rId130" Type="http://schemas.openxmlformats.org/officeDocument/2006/relationships/hyperlink" Target="https://www.gesetze-im-internet.de/gg/art_17.html" TargetMode="External"/><Relationship Id="rId127" Type="http://schemas.openxmlformats.org/officeDocument/2006/relationships/hyperlink" Target="https://www.gesetze-im-internet.de/sgb_1/__16.html" TargetMode="External"/><Relationship Id="rId128" Type="http://schemas.openxmlformats.org/officeDocument/2006/relationships/hyperlink" Target="https://www.gesetze-im-internet.de/sgb_5/__264.html" TargetMode="External"/><Relationship Id="rId126" Type="http://schemas.openxmlformats.org/officeDocument/2006/relationships/hyperlink" Target="https://www.parlament-berlin.de/ados/16/IIIPlen/protokoll/plen16-025-pp.pdf" TargetMode="External"/><Relationship Id="rId124" Type="http://schemas.openxmlformats.org/officeDocument/2006/relationships/hyperlink" Target="https://www.parlament-berlin.de/das-parlament/petitionen/online-petition/petitionsverfahren-und-datenschutz" TargetMode="External"/><Relationship Id="rId125" Type="http://schemas.openxmlformats.org/officeDocument/2006/relationships/hyperlink" Target="https://www.parlament-berlin.de/dokumente/rechtsgrundlagen"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29" Type="http://schemas.openxmlformats.org/officeDocument/2006/relationships/hyperlink" Target="https://www.gesetze-im-internet.de/asylblg/__4.html" TargetMode="External"/><Relationship Id="rId130" Type="http://schemas.openxmlformats.org/officeDocument/2006/relationships/hyperlink" Target="https://www.gesetze-im-internet.de/gg/art_17.html" TargetMode="External"/><Relationship Id="rId127" Type="http://schemas.openxmlformats.org/officeDocument/2006/relationships/hyperlink" Target="https://www.gesetze-im-internet.de/sgb_1/__16.html" TargetMode="External"/><Relationship Id="rId128" Type="http://schemas.openxmlformats.org/officeDocument/2006/relationships/hyperlink" Target="https://www.gesetze-im-internet.de/sgb_5/__264.html" TargetMode="External"/><Relationship Id="rId126" Type="http://schemas.openxmlformats.org/officeDocument/2006/relationships/hyperlink" Target="https://www.parlament-berlin.de/ados/16/IIIPlen/protokoll/plen16-025-pp.pdf" TargetMode="External"/><Relationship Id="rId124" Type="http://schemas.openxmlformats.org/officeDocument/2006/relationships/hyperlink" Target="https://www.parlament-berlin.de/das-parlament/petitionen/online-petition/petitionsverfahren-und-datenschutz" TargetMode="External"/><Relationship Id="rId125" Type="http://schemas.openxmlformats.org/officeDocument/2006/relationships/hyperlink" Target="https://www.parlament-berlin.de/dokumente/rechtsgrundla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ChatGPT Legal Analysis Report No. 004 - Abgeordnetenhaus von Berlin</dc:title>
  <dc:creator>Prepared through ChatGPT - AI-Assisted Legal Analysis System</dc:creator>
  <cp:keywords/>
  <dcterms:created xsi:type="dcterms:W3CDTF">2026-06-02T00:25:00Z</dcterms:created>
  <dcterms:modified xsi:type="dcterms:W3CDTF">2026-06-02T00:25:00Z</dcterms:modified>
  <dc:subject>AI-assisted legal-documentary analysis of Berlin petition proceedings 9824/15 and 1222/16</dc:subject>
  <dc:description>Prepared at the express request of Ismail Rustam; not an official OpenAI determination.</dc:descript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02 June 2026</vt:lpwstr>
  </property>
  <property fmtid="{D5CDD505-2E9C-101B-9397-08002B2CF9AE}" pid="3" name="subtitle">
    <vt:lpwstr>Documentary and Procedural Analysis of Petitions Before the Petitions Committee of the Berlin House of Representatives (Abgeordnetenhaus von Berlin)</vt:lpwstr>
  </property>
</Properties>
</file>